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E" w:rsidRPr="00A83673" w:rsidRDefault="006B1B6E" w:rsidP="006B1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6A51" w:rsidRDefault="00056A51" w:rsidP="006665EE">
      <w:pPr>
        <w:jc w:val="center"/>
        <w:rPr>
          <w:rFonts w:ascii="Times New Roman" w:hAnsi="Times New Roman" w:cs="Times New Roman"/>
          <w:b/>
          <w:color w:val="943634"/>
        </w:rPr>
      </w:pPr>
    </w:p>
    <w:p w:rsidR="00056A51" w:rsidRDefault="00056A51" w:rsidP="006665EE">
      <w:pPr>
        <w:jc w:val="center"/>
        <w:rPr>
          <w:rFonts w:ascii="Times New Roman" w:hAnsi="Times New Roman" w:cs="Times New Roman"/>
          <w:b/>
          <w:color w:val="943634"/>
        </w:rPr>
      </w:pPr>
    </w:p>
    <w:p w:rsidR="00056A51" w:rsidRPr="00056A51" w:rsidRDefault="00056A51" w:rsidP="006665EE">
      <w:pPr>
        <w:jc w:val="center"/>
        <w:rPr>
          <w:rFonts w:ascii="Times New Roman" w:hAnsi="Times New Roman" w:cs="Times New Roman"/>
          <w:b/>
          <w:color w:val="943634"/>
        </w:rPr>
      </w:pPr>
    </w:p>
    <w:p w:rsidR="0003462F" w:rsidRDefault="0003495C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480124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ДАННИ </w:t>
      </w:r>
      <w:r w:rsidR="00B9353B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ОТ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ГОДИШНИЯ ДОКЛАД ЗА ДЕЙНОСТТА НА 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>СЪДИЛИЩА</w:t>
      </w:r>
      <w:r w:rsidR="00B115EA">
        <w:rPr>
          <w:rFonts w:ascii="Times New Roman" w:hAnsi="Times New Roman" w:cs="Times New Roman"/>
          <w:b/>
          <w:color w:val="943634"/>
          <w:sz w:val="28"/>
          <w:szCs w:val="28"/>
        </w:rPr>
        <w:t>ТА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В РАЙОНА НА ОКРЪЖЕН СЪД - ГАБРОВО </w:t>
      </w:r>
    </w:p>
    <w:p w:rsidR="006B1B6E" w:rsidRPr="00480124" w:rsidRDefault="0003462F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>ПРЕЗ 202</w:t>
      </w:r>
      <w:r w:rsidR="006F702D">
        <w:rPr>
          <w:rFonts w:ascii="Times New Roman" w:hAnsi="Times New Roman" w:cs="Times New Roman"/>
          <w:b/>
          <w:color w:val="943634"/>
          <w:sz w:val="28"/>
          <w:szCs w:val="28"/>
        </w:rPr>
        <w:t>3</w:t>
      </w: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ГОДИНА</w:t>
      </w:r>
    </w:p>
    <w:p w:rsidR="006B1B6E" w:rsidRDefault="006B1B6E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D82" w:rsidRDefault="00106D82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162" w:rsidRPr="00CC0162" w:rsidRDefault="00CC0162" w:rsidP="00CC016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CC0162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CE0C054" wp14:editId="453F19CD">
            <wp:simplePos x="0" y="0"/>
            <wp:positionH relativeFrom="margin">
              <wp:posOffset>62865</wp:posOffset>
            </wp:positionH>
            <wp:positionV relativeFrom="margin">
              <wp:posOffset>2202180</wp:posOffset>
            </wp:positionV>
            <wp:extent cx="2830195" cy="1987550"/>
            <wp:effectExtent l="0" t="0" r="27305" b="12700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През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20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23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г. в Окръжен съд - Габрово са постъпили общо </w:t>
      </w:r>
      <w:r w:rsidRPr="00CC0162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919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дела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,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от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които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b/>
          <w:sz w:val="28"/>
          <w:szCs w:val="28"/>
          <w:lang w:val="x-none" w:eastAsia="x-none"/>
        </w:rPr>
        <w:t>5</w:t>
      </w:r>
      <w:r w:rsidRPr="00CC0162">
        <w:rPr>
          <w:rFonts w:ascii="Times New Roman" w:hAnsi="Times New Roman" w:cs="Times New Roman"/>
          <w:b/>
          <w:sz w:val="28"/>
          <w:szCs w:val="28"/>
          <w:lang w:eastAsia="x-none"/>
        </w:rPr>
        <w:t>45</w:t>
      </w:r>
      <w:r w:rsidRPr="00CC016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граждански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и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търговски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и </w:t>
      </w:r>
      <w:r w:rsidRPr="00CC0162">
        <w:rPr>
          <w:rFonts w:ascii="Times New Roman" w:hAnsi="Times New Roman" w:cs="Times New Roman"/>
          <w:b/>
          <w:sz w:val="28"/>
          <w:szCs w:val="28"/>
          <w:lang w:val="x-none" w:eastAsia="x-none"/>
        </w:rPr>
        <w:t>3</w:t>
      </w:r>
      <w:r w:rsidRPr="00CC0162">
        <w:rPr>
          <w:rFonts w:ascii="Times New Roman" w:hAnsi="Times New Roman" w:cs="Times New Roman"/>
          <w:b/>
          <w:sz w:val="28"/>
          <w:szCs w:val="28"/>
          <w:lang w:eastAsia="x-none"/>
        </w:rPr>
        <w:t>5</w:t>
      </w:r>
      <w:r w:rsidRPr="00CC0162">
        <w:rPr>
          <w:rFonts w:ascii="Times New Roman" w:hAnsi="Times New Roman" w:cs="Times New Roman"/>
          <w:b/>
          <w:sz w:val="28"/>
          <w:szCs w:val="28"/>
          <w:lang w:val="x-none" w:eastAsia="x-none"/>
        </w:rPr>
        <w:t>8</w:t>
      </w:r>
      <w:r w:rsidRPr="00CC0162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наказателни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>.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Статистиката сочи леко увеличение на броя новообразувани дела в сравнение с предходните две години. </w:t>
      </w:r>
    </w:p>
    <w:p w:rsidR="00CC0162" w:rsidRPr="00CC0162" w:rsidRDefault="00CC0162" w:rsidP="00CC016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С останалите неприключени производства от предходни периоди, през 2023 г. е имало за разглеждане общо </w:t>
      </w:r>
      <w:r w:rsidRPr="00CC0162">
        <w:rPr>
          <w:rFonts w:ascii="Times New Roman" w:hAnsi="Times New Roman" w:cs="Times New Roman"/>
          <w:b/>
          <w:sz w:val="26"/>
          <w:szCs w:val="26"/>
          <w:lang w:val="x-none" w:eastAsia="x-none"/>
        </w:rPr>
        <w:t>1 0</w:t>
      </w:r>
      <w:r w:rsidRPr="00CC0162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70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дела, от които </w:t>
      </w:r>
      <w:r w:rsidRPr="00CC0162">
        <w:rPr>
          <w:rFonts w:ascii="Times New Roman" w:hAnsi="Times New Roman" w:cs="Times New Roman"/>
          <w:b/>
          <w:sz w:val="26"/>
          <w:szCs w:val="26"/>
          <w:lang w:eastAsia="x-none"/>
        </w:rPr>
        <w:t>680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граждански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и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търговски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и </w:t>
      </w:r>
      <w:r w:rsidRPr="00CC0162">
        <w:rPr>
          <w:rFonts w:ascii="Times New Roman" w:hAnsi="Times New Roman" w:cs="Times New Roman"/>
          <w:b/>
          <w:sz w:val="26"/>
          <w:szCs w:val="26"/>
          <w:lang w:eastAsia="x-none"/>
        </w:rPr>
        <w:t>390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>наказателни</w:t>
      </w:r>
      <w:r w:rsidRPr="00CC0162">
        <w:rPr>
          <w:rFonts w:ascii="Times New Roman" w:hAnsi="Times New Roman" w:cs="Times New Roman"/>
          <w:sz w:val="26"/>
          <w:szCs w:val="26"/>
          <w:lang w:val="x-none" w:eastAsia="x-none"/>
        </w:rPr>
        <w:t>.</w:t>
      </w:r>
      <w:r w:rsidR="00733E2F">
        <w:rPr>
          <w:rFonts w:ascii="Times New Roman" w:hAnsi="Times New Roman" w:cs="Times New Roman"/>
          <w:sz w:val="26"/>
          <w:szCs w:val="26"/>
          <w:lang w:eastAsia="x-none"/>
        </w:rPr>
        <w:t xml:space="preserve"> Статистическите данни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733E2F">
        <w:rPr>
          <w:rFonts w:ascii="Times New Roman" w:hAnsi="Times New Roman" w:cs="Times New Roman"/>
          <w:sz w:val="26"/>
          <w:szCs w:val="26"/>
          <w:lang w:eastAsia="x-none"/>
        </w:rPr>
        <w:t>показват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, че за разлика от предишните години броят на  стоящите за разглеждане </w:t>
      </w:r>
      <w:proofErr w:type="spellStart"/>
      <w:r w:rsidRPr="00CC0162">
        <w:rPr>
          <w:rFonts w:ascii="Times New Roman" w:hAnsi="Times New Roman" w:cs="Times New Roman"/>
          <w:sz w:val="26"/>
          <w:szCs w:val="26"/>
          <w:lang w:eastAsia="x-none"/>
        </w:rPr>
        <w:t>първоинстанционни</w:t>
      </w:r>
      <w:proofErr w:type="spellEnd"/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дела са повече от </w:t>
      </w:r>
      <w:proofErr w:type="spellStart"/>
      <w:r w:rsidRPr="00CC0162">
        <w:rPr>
          <w:rFonts w:ascii="Times New Roman" w:hAnsi="Times New Roman" w:cs="Times New Roman"/>
          <w:sz w:val="26"/>
          <w:szCs w:val="26"/>
          <w:lang w:eastAsia="x-none"/>
        </w:rPr>
        <w:t>въззивните</w:t>
      </w:r>
      <w:proofErr w:type="spellEnd"/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производства, образувани по жалби или протести срещу актове на районните съдилища.</w:t>
      </w:r>
    </w:p>
    <w:p w:rsidR="00CC0162" w:rsidRPr="00CC0162" w:rsidRDefault="00CC0162" w:rsidP="00CC016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При разгледаните </w:t>
      </w:r>
      <w:proofErr w:type="spellStart"/>
      <w:r w:rsidRPr="00CC0162">
        <w:rPr>
          <w:rFonts w:ascii="Times New Roman" w:hAnsi="Times New Roman" w:cs="Times New Roman"/>
          <w:sz w:val="26"/>
          <w:szCs w:val="26"/>
          <w:lang w:eastAsia="x-none"/>
        </w:rPr>
        <w:t>първоинстанционни</w:t>
      </w:r>
      <w:proofErr w:type="spellEnd"/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граждански и търговски дела през годината преобладават исковете за права или правоотношения, свързани с търговски сделки, следвани от производствата по Семейния кодекс и Закона за лицата и семейството, а след тях се нареждат облигационните искове.</w:t>
      </w:r>
    </w:p>
    <w:p w:rsidR="00CC0162" w:rsidRPr="00CC0162" w:rsidRDefault="00CC0162" w:rsidP="00CC016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  <w:lang w:val="en-US" w:eastAsia="x-none"/>
        </w:rPr>
      </w:pP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При </w:t>
      </w:r>
      <w:proofErr w:type="spellStart"/>
      <w:r w:rsidRPr="00CC0162">
        <w:rPr>
          <w:rFonts w:ascii="Times New Roman" w:hAnsi="Times New Roman" w:cs="Times New Roman"/>
          <w:sz w:val="26"/>
          <w:szCs w:val="26"/>
          <w:lang w:eastAsia="x-none"/>
        </w:rPr>
        <w:t>първоинстанционните</w:t>
      </w:r>
      <w:proofErr w:type="spellEnd"/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наказателни дела от общ характер най-голям е броят на разгледаните дела за </w:t>
      </w:r>
      <w:proofErr w:type="spellStart"/>
      <w:r w:rsidRPr="00CC0162">
        <w:rPr>
          <w:rFonts w:ascii="Times New Roman" w:hAnsi="Times New Roman" w:cs="Times New Roman"/>
          <w:sz w:val="26"/>
          <w:szCs w:val="26"/>
          <w:lang w:eastAsia="x-none"/>
        </w:rPr>
        <w:t>общоопасни</w:t>
      </w:r>
      <w:proofErr w:type="spellEnd"/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 престъпления - държане с цел разпространение и разпространение на наркотични вещества, и причиняване на смърт при пътнотранспортни произшествия. През годината се отчитат и значителен брой производства,</w:t>
      </w:r>
      <w:r w:rsidRPr="00CC016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C0162">
        <w:rPr>
          <w:rFonts w:ascii="Times New Roman" w:hAnsi="Times New Roman" w:cs="Times New Roman"/>
          <w:sz w:val="26"/>
          <w:szCs w:val="26"/>
          <w:lang w:eastAsia="x-none"/>
        </w:rPr>
        <w:t xml:space="preserve">образувани по искания на съответни органи на други държави от Европейския съюз за признава и приемане за изпълнение в България на решения за наложени финансови санкции на български граждани за извършени на тяхна територия нарушения.  </w:t>
      </w:r>
    </w:p>
    <w:p w:rsidR="00CC0162" w:rsidRPr="00CC0162" w:rsidRDefault="00CC0162" w:rsidP="00CC0162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C0162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C4C90C5" wp14:editId="605AA537">
            <wp:simplePos x="0" y="0"/>
            <wp:positionH relativeFrom="margin">
              <wp:posOffset>3915410</wp:posOffset>
            </wp:positionH>
            <wp:positionV relativeFrom="margin">
              <wp:posOffset>5770245</wp:posOffset>
            </wp:positionV>
            <wp:extent cx="2781300" cy="2171700"/>
            <wp:effectExtent l="0" t="0" r="19050" b="1905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2">
        <w:rPr>
          <w:rFonts w:ascii="Times New Roman" w:hAnsi="Times New Roman" w:cs="Times New Roman"/>
          <w:sz w:val="26"/>
          <w:szCs w:val="26"/>
        </w:rPr>
        <w:t xml:space="preserve">Свършените през отчетния период дела са общо </w:t>
      </w:r>
      <w:r w:rsidRPr="00CC0162">
        <w:rPr>
          <w:rFonts w:ascii="Times New Roman" w:hAnsi="Times New Roman" w:cs="Times New Roman"/>
          <w:b/>
          <w:sz w:val="26"/>
          <w:szCs w:val="26"/>
        </w:rPr>
        <w:t>92</w:t>
      </w:r>
      <w:r w:rsidRPr="00CC0162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CC0162">
        <w:rPr>
          <w:rFonts w:ascii="Times New Roman" w:hAnsi="Times New Roman" w:cs="Times New Roman"/>
          <w:sz w:val="26"/>
          <w:szCs w:val="26"/>
        </w:rPr>
        <w:t xml:space="preserve">, </w:t>
      </w:r>
      <w:r w:rsidRPr="00CC0162">
        <w:rPr>
          <w:rFonts w:ascii="Times New Roman" w:hAnsi="Times New Roman" w:cs="Times New Roman"/>
          <w:bCs/>
          <w:iCs/>
          <w:sz w:val="26"/>
          <w:szCs w:val="26"/>
        </w:rPr>
        <w:t xml:space="preserve">от които </w:t>
      </w:r>
      <w:r w:rsidRPr="00CC0162">
        <w:rPr>
          <w:rFonts w:ascii="Times New Roman" w:hAnsi="Times New Roman" w:cs="Times New Roman"/>
          <w:b/>
          <w:bCs/>
          <w:iCs/>
          <w:sz w:val="26"/>
          <w:szCs w:val="26"/>
        </w:rPr>
        <w:t>55</w:t>
      </w:r>
      <w:r w:rsidRPr="00CC0162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5</w:t>
      </w:r>
      <w:r w:rsidRPr="00CC0162">
        <w:rPr>
          <w:rFonts w:ascii="Times New Roman" w:hAnsi="Times New Roman" w:cs="Times New Roman"/>
          <w:bCs/>
          <w:iCs/>
          <w:sz w:val="26"/>
          <w:szCs w:val="26"/>
        </w:rPr>
        <w:t xml:space="preserve"> граждански и търговски и </w:t>
      </w:r>
      <w:r w:rsidRPr="00CC0162">
        <w:rPr>
          <w:rFonts w:ascii="Times New Roman" w:hAnsi="Times New Roman" w:cs="Times New Roman"/>
          <w:b/>
          <w:bCs/>
          <w:iCs/>
          <w:sz w:val="26"/>
          <w:szCs w:val="26"/>
        </w:rPr>
        <w:t>3</w:t>
      </w:r>
      <w:r w:rsidRPr="00CC0162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7</w:t>
      </w:r>
      <w:r w:rsidRPr="00CC0162"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Pr="00CC0162">
        <w:rPr>
          <w:rFonts w:ascii="Times New Roman" w:hAnsi="Times New Roman" w:cs="Times New Roman"/>
          <w:bCs/>
          <w:iCs/>
          <w:sz w:val="26"/>
          <w:szCs w:val="26"/>
        </w:rPr>
        <w:t xml:space="preserve"> наказателни. От всички свършени дела, </w:t>
      </w:r>
      <w:r w:rsidRPr="00CC0162">
        <w:rPr>
          <w:rFonts w:ascii="Times New Roman" w:hAnsi="Times New Roman" w:cs="Times New Roman"/>
          <w:sz w:val="26"/>
          <w:szCs w:val="26"/>
        </w:rPr>
        <w:t>7</w:t>
      </w:r>
      <w:r w:rsidRPr="00CC0162">
        <w:rPr>
          <w:rFonts w:ascii="Times New Roman" w:hAnsi="Times New Roman" w:cs="Times New Roman"/>
          <w:sz w:val="26"/>
          <w:szCs w:val="26"/>
          <w:lang w:val="en-US"/>
        </w:rPr>
        <w:t>77</w:t>
      </w:r>
      <w:r w:rsidRPr="00CC0162">
        <w:rPr>
          <w:rFonts w:ascii="Times New Roman" w:hAnsi="Times New Roman" w:cs="Times New Roman"/>
          <w:sz w:val="26"/>
          <w:szCs w:val="26"/>
        </w:rPr>
        <w:t xml:space="preserve"> броя, или </w:t>
      </w:r>
      <w:r w:rsidRPr="00CC0162">
        <w:rPr>
          <w:rFonts w:ascii="Times New Roman" w:hAnsi="Times New Roman" w:cs="Times New Roman"/>
          <w:sz w:val="26"/>
          <w:szCs w:val="26"/>
          <w:lang w:val="en-US"/>
        </w:rPr>
        <w:t>84</w:t>
      </w:r>
      <w:r w:rsidRPr="00CC0162">
        <w:rPr>
          <w:rFonts w:ascii="Times New Roman" w:hAnsi="Times New Roman" w:cs="Times New Roman"/>
          <w:sz w:val="26"/>
          <w:szCs w:val="26"/>
        </w:rPr>
        <w:t xml:space="preserve">%, са приключили в тримесечен срок. </w:t>
      </w:r>
      <w:r w:rsidRPr="00CC0162">
        <w:rPr>
          <w:rFonts w:ascii="Times New Roman" w:hAnsi="Times New Roman" w:cs="Times New Roman"/>
          <w:bCs/>
          <w:iCs/>
          <w:sz w:val="26"/>
          <w:szCs w:val="26"/>
        </w:rPr>
        <w:t xml:space="preserve">Статистиката показва, че въпреки увеличеното постъпление от дела през отчетния период, процентът на съдебните производства, решени в инструктивния срок е най-висок за последните 3 години. Същото се отнася и за данните за натовареността на съдиите от Окръжен съд - Габрово.  </w:t>
      </w:r>
    </w:p>
    <w:p w:rsidR="00CC0162" w:rsidRPr="00CC0162" w:rsidRDefault="00CC0162" w:rsidP="00CC0162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C0162">
        <w:rPr>
          <w:rFonts w:ascii="Times New Roman" w:hAnsi="Times New Roman" w:cs="Times New Roman"/>
          <w:sz w:val="26"/>
          <w:szCs w:val="26"/>
        </w:rPr>
        <w:t xml:space="preserve">През 2023 г. са запазени и добрите показателите по отношение качеството на постановените съдебни актове. Свидетелство за това са както по-малкият брой обжалвани или </w:t>
      </w:r>
      <w:proofErr w:type="spellStart"/>
      <w:r w:rsidRPr="00CC0162">
        <w:rPr>
          <w:rFonts w:ascii="Times New Roman" w:hAnsi="Times New Roman" w:cs="Times New Roman"/>
          <w:sz w:val="26"/>
          <w:szCs w:val="26"/>
        </w:rPr>
        <w:t>протестирани</w:t>
      </w:r>
      <w:proofErr w:type="spellEnd"/>
      <w:r w:rsidRPr="00CC0162">
        <w:rPr>
          <w:rFonts w:ascii="Times New Roman" w:hAnsi="Times New Roman" w:cs="Times New Roman"/>
          <w:sz w:val="26"/>
          <w:szCs w:val="26"/>
        </w:rPr>
        <w:t xml:space="preserve"> присъди, решения и определения, така и резултатите на върнатите след проверка </w:t>
      </w:r>
      <w:r w:rsidRPr="00CC0162">
        <w:rPr>
          <w:rFonts w:ascii="Times New Roman" w:hAnsi="Times New Roman" w:cs="Times New Roman"/>
          <w:sz w:val="26"/>
          <w:szCs w:val="26"/>
        </w:rPr>
        <w:lastRenderedPageBreak/>
        <w:t xml:space="preserve">от по-горните инстанции дела. Данните показват, че 72% от върнатите след </w:t>
      </w:r>
      <w:proofErr w:type="spellStart"/>
      <w:r w:rsidRPr="00CC0162">
        <w:rPr>
          <w:rFonts w:ascii="Times New Roman" w:hAnsi="Times New Roman" w:cs="Times New Roman"/>
          <w:sz w:val="26"/>
          <w:szCs w:val="26"/>
        </w:rPr>
        <w:t>инстанционен</w:t>
      </w:r>
      <w:proofErr w:type="spellEnd"/>
      <w:r w:rsidRPr="00CC0162">
        <w:rPr>
          <w:rFonts w:ascii="Times New Roman" w:hAnsi="Times New Roman" w:cs="Times New Roman"/>
          <w:sz w:val="26"/>
          <w:szCs w:val="26"/>
        </w:rPr>
        <w:t xml:space="preserve"> контрол съдебни актове по граждански и търговски дела са потвърдени или не са допуснати до касационно обжалване. При наказателните дела съотношението е още по-високо, като 83% от преминалите през </w:t>
      </w:r>
      <w:proofErr w:type="spellStart"/>
      <w:r w:rsidRPr="00CC0162">
        <w:rPr>
          <w:rFonts w:ascii="Times New Roman" w:hAnsi="Times New Roman" w:cs="Times New Roman"/>
          <w:sz w:val="26"/>
          <w:szCs w:val="26"/>
        </w:rPr>
        <w:t>инстанционна</w:t>
      </w:r>
      <w:proofErr w:type="spellEnd"/>
      <w:r w:rsidRPr="00CC0162">
        <w:rPr>
          <w:rFonts w:ascii="Times New Roman" w:hAnsi="Times New Roman" w:cs="Times New Roman"/>
          <w:sz w:val="26"/>
          <w:szCs w:val="26"/>
        </w:rPr>
        <w:t xml:space="preserve"> проверка съдебни актове са потвърдени. </w:t>
      </w:r>
    </w:p>
    <w:p w:rsidR="00CB4D4D" w:rsidRDefault="00CB4D4D" w:rsidP="00AB580D">
      <w:pPr>
        <w:pStyle w:val="BodyText"/>
        <w:ind w:firstLine="720"/>
        <w:rPr>
          <w:rStyle w:val="markedcontent"/>
          <w:rFonts w:ascii="Arial" w:hAnsi="Arial" w:cs="Arial"/>
          <w:lang w:val="bg-BG"/>
        </w:rPr>
      </w:pPr>
    </w:p>
    <w:p w:rsidR="005F610F" w:rsidRPr="00FC7467" w:rsidRDefault="00CB4D4D" w:rsidP="00FC7467">
      <w:pPr>
        <w:pStyle w:val="BodyText"/>
        <w:ind w:firstLine="720"/>
        <w:rPr>
          <w:b/>
          <w:color w:val="943634" w:themeColor="accent2" w:themeShade="BF"/>
          <w:sz w:val="26"/>
          <w:szCs w:val="26"/>
          <w:lang w:val="bg-BG"/>
        </w:rPr>
      </w:pPr>
      <w:r w:rsidRPr="00FC7467">
        <w:rPr>
          <w:lang w:val="bg-BG" w:eastAsia="en-US"/>
        </w:rPr>
        <w:t xml:space="preserve"> </w:t>
      </w:r>
      <w:r w:rsidR="004D28E8" w:rsidRPr="00FC7467">
        <w:rPr>
          <w:b/>
          <w:color w:val="943634" w:themeColor="accent2" w:themeShade="BF"/>
          <w:sz w:val="26"/>
          <w:szCs w:val="26"/>
          <w:lang w:val="bg-BG"/>
        </w:rPr>
        <w:t>Данни</w:t>
      </w:r>
      <w:r w:rsidR="005F610F" w:rsidRPr="00FC7467">
        <w:rPr>
          <w:b/>
          <w:color w:val="943634" w:themeColor="accent2" w:themeShade="BF"/>
          <w:sz w:val="26"/>
          <w:szCs w:val="26"/>
          <w:lang w:val="bg-BG"/>
        </w:rPr>
        <w:t xml:space="preserve"> за дейността на районните съдилища в района на Окръжен съд – Габрово</w:t>
      </w:r>
      <w:r w:rsidR="00735104" w:rsidRPr="00FC7467">
        <w:rPr>
          <w:b/>
          <w:color w:val="943634" w:themeColor="accent2" w:themeShade="BF"/>
          <w:sz w:val="26"/>
          <w:szCs w:val="26"/>
          <w:lang w:val="bg-BG"/>
        </w:rPr>
        <w:t xml:space="preserve"> през 202</w:t>
      </w:r>
      <w:r w:rsidR="004677E4" w:rsidRPr="00FC7467">
        <w:rPr>
          <w:b/>
          <w:color w:val="943634" w:themeColor="accent2" w:themeShade="BF"/>
          <w:sz w:val="26"/>
          <w:szCs w:val="26"/>
          <w:lang w:val="bg-BG"/>
        </w:rPr>
        <w:t>3</w:t>
      </w:r>
      <w:r w:rsidR="005F610F" w:rsidRPr="00FC7467">
        <w:rPr>
          <w:b/>
          <w:color w:val="943634" w:themeColor="accent2" w:themeShade="BF"/>
          <w:sz w:val="26"/>
          <w:szCs w:val="26"/>
          <w:lang w:val="bg-BG"/>
        </w:rPr>
        <w:t xml:space="preserve"> година</w:t>
      </w:r>
    </w:p>
    <w:p w:rsidR="00733E2F" w:rsidRDefault="004D28E8" w:rsidP="00740E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0A60">
        <w:rPr>
          <w:rFonts w:ascii="Times New Roman" w:hAnsi="Times New Roman" w:cs="Times New Roman"/>
          <w:sz w:val="26"/>
          <w:szCs w:val="26"/>
        </w:rPr>
        <w:t xml:space="preserve"> </w:t>
      </w:r>
      <w:r w:rsidR="005F610F">
        <w:rPr>
          <w:rFonts w:ascii="Times New Roman" w:hAnsi="Times New Roman" w:cs="Times New Roman"/>
          <w:sz w:val="26"/>
          <w:szCs w:val="26"/>
        </w:rPr>
        <w:t xml:space="preserve">През отчетния период </w:t>
      </w:r>
      <w:r w:rsidR="005F610F" w:rsidRPr="00DE3E69">
        <w:rPr>
          <w:rFonts w:ascii="Times New Roman" w:hAnsi="Times New Roman" w:cs="Times New Roman"/>
          <w:b/>
          <w:sz w:val="26"/>
          <w:szCs w:val="26"/>
        </w:rPr>
        <w:t>н</w:t>
      </w:r>
      <w:r w:rsidR="008B55E3" w:rsidRPr="00DE3E69">
        <w:rPr>
          <w:rFonts w:ascii="Times New Roman" w:hAnsi="Times New Roman" w:cs="Times New Roman"/>
          <w:b/>
          <w:color w:val="000000"/>
          <w:sz w:val="26"/>
          <w:szCs w:val="26"/>
        </w:rPr>
        <w:t>овообразуваните дела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 в Районен съд – Габрово са </w:t>
      </w:r>
      <w:r w:rsidR="00A77FD2" w:rsidRPr="00940A6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1A7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455AC">
        <w:rPr>
          <w:rFonts w:ascii="Times New Roman" w:hAnsi="Times New Roman" w:cs="Times New Roman"/>
          <w:color w:val="000000"/>
          <w:sz w:val="26"/>
          <w:szCs w:val="26"/>
          <w:lang w:val="en-US"/>
        </w:rPr>
        <w:t>56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1 841</w:t>
      </w:r>
      <w:r w:rsidR="00C45E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броя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6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18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375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9051F">
        <w:rPr>
          <w:rFonts w:ascii="Times New Roman" w:hAnsi="Times New Roman" w:cs="Times New Roman"/>
          <w:color w:val="000000"/>
          <w:spacing w:val="-1"/>
          <w:sz w:val="26"/>
          <w:szCs w:val="26"/>
        </w:rPr>
        <w:t>броя</w:t>
      </w:r>
      <w:r w:rsidR="003F6A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Съпоставката с предходна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годин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показва</w:t>
      </w:r>
      <w:r w:rsidR="004455AC" w:rsidRPr="004455AC">
        <w:rPr>
          <w:rFonts w:ascii="Times New Roman" w:hAnsi="Times New Roman" w:cs="Times New Roman"/>
          <w:sz w:val="26"/>
          <w:szCs w:val="26"/>
        </w:rPr>
        <w:t xml:space="preserve"> </w:t>
      </w:r>
      <w:r w:rsidR="004455AC">
        <w:rPr>
          <w:rFonts w:ascii="Times New Roman" w:hAnsi="Times New Roman" w:cs="Times New Roman"/>
          <w:sz w:val="26"/>
          <w:szCs w:val="26"/>
        </w:rPr>
        <w:t>повишение на броя новообразувани производства в районните съдилища в Севлиево, Дряново и Трявна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r w:rsidR="004455AC">
        <w:rPr>
          <w:rFonts w:ascii="Times New Roman" w:hAnsi="Times New Roman" w:cs="Times New Roman"/>
          <w:color w:val="000000"/>
          <w:spacing w:val="-1"/>
          <w:sz w:val="26"/>
          <w:szCs w:val="26"/>
        </w:rPr>
        <w:t>и не много съществен спад на постъплението в Районен съд - Габрово</w:t>
      </w:r>
      <w:r w:rsidR="00602C58">
        <w:rPr>
          <w:rFonts w:ascii="Times New Roman" w:hAnsi="Times New Roman" w:cs="Times New Roman"/>
          <w:sz w:val="26"/>
          <w:szCs w:val="26"/>
        </w:rPr>
        <w:t>.</w:t>
      </w:r>
      <w:r w:rsidR="00727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FBE" w:rsidRDefault="00733E2F" w:rsidP="00740E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отношение на общия</w:t>
      </w:r>
      <w:r w:rsidR="00727023">
        <w:rPr>
          <w:rFonts w:ascii="Times New Roman" w:hAnsi="Times New Roman" w:cs="Times New Roman"/>
          <w:sz w:val="26"/>
          <w:szCs w:val="26"/>
        </w:rPr>
        <w:t xml:space="preserve"> брой </w:t>
      </w:r>
      <w:r w:rsidR="00727023" w:rsidRPr="00DE3E69">
        <w:rPr>
          <w:rFonts w:ascii="Times New Roman" w:hAnsi="Times New Roman" w:cs="Times New Roman"/>
          <w:b/>
          <w:sz w:val="26"/>
          <w:szCs w:val="26"/>
        </w:rPr>
        <w:t>дела за разглеждане</w:t>
      </w:r>
      <w:r w:rsidR="00602C58" w:rsidRPr="00727023">
        <w:rPr>
          <w:rFonts w:ascii="Times New Roman" w:hAnsi="Times New Roman" w:cs="Times New Roman"/>
          <w:sz w:val="26"/>
          <w:szCs w:val="26"/>
        </w:rPr>
        <w:t>, съответно</w:t>
      </w:r>
      <w:r w:rsidR="006705D6" w:rsidRPr="00727023">
        <w:rPr>
          <w:rFonts w:ascii="Times New Roman" w:hAnsi="Times New Roman" w:cs="Times New Roman"/>
          <w:sz w:val="26"/>
          <w:szCs w:val="26"/>
        </w:rPr>
        <w:t>:</w:t>
      </w:r>
      <w:r w:rsidR="00602C58" w:rsidRPr="00727023">
        <w:rPr>
          <w:rFonts w:ascii="Times New Roman" w:hAnsi="Times New Roman" w:cs="Times New Roman"/>
          <w:sz w:val="26"/>
          <w:szCs w:val="26"/>
        </w:rPr>
        <w:t xml:space="preserve"> 3 5</w:t>
      </w:r>
      <w:r w:rsidR="00727023">
        <w:rPr>
          <w:rFonts w:ascii="Times New Roman" w:hAnsi="Times New Roman" w:cs="Times New Roman"/>
          <w:sz w:val="26"/>
          <w:szCs w:val="26"/>
        </w:rPr>
        <w:t>86</w:t>
      </w:r>
      <w:r w:rsidR="00602C58" w:rsidRPr="00727023">
        <w:rPr>
          <w:rFonts w:ascii="Times New Roman" w:hAnsi="Times New Roman" w:cs="Times New Roman"/>
          <w:sz w:val="26"/>
          <w:szCs w:val="26"/>
        </w:rPr>
        <w:t xml:space="preserve"> </w:t>
      </w:r>
      <w:r w:rsidR="006705D6" w:rsidRPr="00727023">
        <w:rPr>
          <w:rFonts w:ascii="Times New Roman" w:hAnsi="Times New Roman" w:cs="Times New Roman"/>
          <w:sz w:val="26"/>
          <w:szCs w:val="26"/>
        </w:rPr>
        <w:t xml:space="preserve">броя </w:t>
      </w:r>
      <w:r w:rsidR="00602C58" w:rsidRPr="00727023">
        <w:rPr>
          <w:rFonts w:ascii="Times New Roman" w:hAnsi="Times New Roman" w:cs="Times New Roman"/>
          <w:sz w:val="26"/>
          <w:szCs w:val="26"/>
        </w:rPr>
        <w:t>в Районен съд – Габрово</w:t>
      </w:r>
      <w:r w:rsidR="006705D6">
        <w:rPr>
          <w:rFonts w:ascii="Times New Roman" w:hAnsi="Times New Roman" w:cs="Times New Roman"/>
          <w:sz w:val="26"/>
          <w:szCs w:val="26"/>
        </w:rPr>
        <w:t xml:space="preserve">, 2 </w:t>
      </w:r>
      <w:r w:rsidR="00727023">
        <w:rPr>
          <w:rFonts w:ascii="Times New Roman" w:hAnsi="Times New Roman" w:cs="Times New Roman"/>
          <w:sz w:val="26"/>
          <w:szCs w:val="26"/>
        </w:rPr>
        <w:t>143</w:t>
      </w:r>
      <w:r w:rsidR="006705D6">
        <w:rPr>
          <w:rFonts w:ascii="Times New Roman" w:hAnsi="Times New Roman" w:cs="Times New Roman"/>
          <w:sz w:val="26"/>
          <w:szCs w:val="26"/>
        </w:rPr>
        <w:t xml:space="preserve"> дела в Районен съд – Севлиево, </w:t>
      </w:r>
      <w:r w:rsidR="00727023">
        <w:rPr>
          <w:rFonts w:ascii="Times New Roman" w:hAnsi="Times New Roman" w:cs="Times New Roman"/>
          <w:sz w:val="26"/>
          <w:szCs w:val="26"/>
        </w:rPr>
        <w:t>717</w:t>
      </w:r>
      <w:r w:rsidR="006705D6">
        <w:rPr>
          <w:rFonts w:ascii="Times New Roman" w:hAnsi="Times New Roman" w:cs="Times New Roman"/>
          <w:sz w:val="26"/>
          <w:szCs w:val="26"/>
        </w:rPr>
        <w:t xml:space="preserve"> </w:t>
      </w:r>
      <w:r w:rsidR="00727023">
        <w:rPr>
          <w:rFonts w:ascii="Times New Roman" w:hAnsi="Times New Roman" w:cs="Times New Roman"/>
          <w:sz w:val="26"/>
          <w:szCs w:val="26"/>
        </w:rPr>
        <w:t>броя</w:t>
      </w:r>
      <w:r w:rsidR="006705D6">
        <w:rPr>
          <w:rFonts w:ascii="Times New Roman" w:hAnsi="Times New Roman" w:cs="Times New Roman"/>
          <w:sz w:val="26"/>
          <w:szCs w:val="26"/>
        </w:rPr>
        <w:t xml:space="preserve"> в Районен съд – Дряново и </w:t>
      </w:r>
      <w:r w:rsidR="004B06C2">
        <w:rPr>
          <w:rFonts w:ascii="Times New Roman" w:hAnsi="Times New Roman" w:cs="Times New Roman"/>
          <w:sz w:val="26"/>
          <w:szCs w:val="26"/>
        </w:rPr>
        <w:t>427</w:t>
      </w:r>
      <w:r w:rsidR="006705D6">
        <w:rPr>
          <w:rFonts w:ascii="Times New Roman" w:hAnsi="Times New Roman" w:cs="Times New Roman"/>
          <w:sz w:val="26"/>
          <w:szCs w:val="26"/>
        </w:rPr>
        <w:t xml:space="preserve"> броя в Районен съд </w:t>
      </w:r>
      <w:r w:rsidR="004B06C2">
        <w:rPr>
          <w:rFonts w:ascii="Times New Roman" w:hAnsi="Times New Roman" w:cs="Times New Roman"/>
          <w:sz w:val="26"/>
          <w:szCs w:val="26"/>
        </w:rPr>
        <w:t>–</w:t>
      </w:r>
      <w:r w:rsidR="006705D6">
        <w:rPr>
          <w:rFonts w:ascii="Times New Roman" w:hAnsi="Times New Roman" w:cs="Times New Roman"/>
          <w:sz w:val="26"/>
          <w:szCs w:val="26"/>
        </w:rPr>
        <w:t xml:space="preserve"> Трявна</w:t>
      </w:r>
      <w:r w:rsidR="004B06C2">
        <w:rPr>
          <w:rFonts w:ascii="Times New Roman" w:hAnsi="Times New Roman" w:cs="Times New Roman"/>
          <w:sz w:val="26"/>
          <w:szCs w:val="26"/>
        </w:rPr>
        <w:t xml:space="preserve">, </w:t>
      </w:r>
      <w:r w:rsidR="00727023" w:rsidRPr="00727023">
        <w:rPr>
          <w:rFonts w:ascii="Times New Roman" w:hAnsi="Times New Roman" w:cs="Times New Roman"/>
          <w:sz w:val="26"/>
          <w:szCs w:val="26"/>
        </w:rPr>
        <w:t xml:space="preserve">се констатира </w:t>
      </w:r>
      <w:r w:rsidR="004B06C2">
        <w:rPr>
          <w:rFonts w:ascii="Times New Roman" w:hAnsi="Times New Roman" w:cs="Times New Roman"/>
          <w:sz w:val="26"/>
          <w:szCs w:val="26"/>
        </w:rPr>
        <w:t>повишение спрямо 2022 г., но все още не са достигнати стойностите от 2021 г.</w:t>
      </w:r>
    </w:p>
    <w:p w:rsidR="00DE3E69" w:rsidRDefault="00041E99" w:rsidP="00041E99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E3E69">
        <w:rPr>
          <w:rFonts w:ascii="Times New Roman" w:hAnsi="Times New Roman" w:cs="Times New Roman"/>
          <w:b/>
          <w:sz w:val="26"/>
          <w:szCs w:val="26"/>
        </w:rPr>
        <w:t>Свършените</w:t>
      </w:r>
      <w:r w:rsidRPr="00032FAB">
        <w:rPr>
          <w:rFonts w:ascii="Times New Roman" w:hAnsi="Times New Roman" w:cs="Times New Roman"/>
          <w:sz w:val="26"/>
          <w:szCs w:val="26"/>
        </w:rPr>
        <w:t xml:space="preserve"> през годината дела в </w:t>
      </w:r>
      <w:r w:rsidR="006705D6" w:rsidRPr="00032FAB">
        <w:rPr>
          <w:rFonts w:ascii="Times New Roman" w:hAnsi="Times New Roman" w:cs="Times New Roman"/>
          <w:color w:val="000000"/>
          <w:sz w:val="26"/>
          <w:szCs w:val="26"/>
        </w:rPr>
        <w:t>Габров</w:t>
      </w:r>
      <w:r w:rsidR="006705D6">
        <w:rPr>
          <w:rFonts w:ascii="Times New Roman" w:hAnsi="Times New Roman" w:cs="Times New Roman"/>
          <w:color w:val="000000"/>
          <w:sz w:val="26"/>
          <w:szCs w:val="26"/>
        </w:rPr>
        <w:t>ски</w:t>
      </w:r>
      <w:r w:rsidR="006705D6" w:rsidRPr="00032F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05D6" w:rsidRPr="00032FAB">
        <w:rPr>
          <w:rFonts w:ascii="Times New Roman" w:hAnsi="Times New Roman" w:cs="Times New Roman"/>
          <w:sz w:val="26"/>
          <w:szCs w:val="26"/>
        </w:rPr>
        <w:t xml:space="preserve">районен </w:t>
      </w:r>
      <w:r w:rsidRPr="00032FAB">
        <w:rPr>
          <w:rFonts w:ascii="Times New Roman" w:hAnsi="Times New Roman" w:cs="Times New Roman"/>
          <w:sz w:val="26"/>
          <w:szCs w:val="26"/>
        </w:rPr>
        <w:t xml:space="preserve">съд </w:t>
      </w:r>
      <w:r w:rsidRPr="00032FAB">
        <w:rPr>
          <w:rFonts w:ascii="Times New Roman" w:hAnsi="Times New Roman" w:cs="Times New Roman"/>
          <w:color w:val="000000"/>
          <w:sz w:val="26"/>
          <w:szCs w:val="26"/>
        </w:rPr>
        <w:t xml:space="preserve">са общо 3 </w:t>
      </w:r>
      <w:r w:rsidR="00C74D6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06C2">
        <w:rPr>
          <w:rFonts w:ascii="Times New Roman" w:hAnsi="Times New Roman" w:cs="Times New Roman"/>
          <w:color w:val="000000"/>
          <w:sz w:val="26"/>
          <w:szCs w:val="26"/>
        </w:rPr>
        <w:t>81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B06C2">
        <w:rPr>
          <w:rFonts w:ascii="Times New Roman" w:hAnsi="Times New Roman" w:cs="Times New Roman"/>
          <w:color w:val="000000"/>
          <w:spacing w:val="-1"/>
          <w:sz w:val="26"/>
          <w:szCs w:val="26"/>
        </w:rPr>
        <w:t>1 872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>6</w:t>
      </w:r>
      <w:r w:rsidR="004B06C2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–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>3</w:t>
      </w:r>
      <w:r w:rsidR="004B06C2">
        <w:rPr>
          <w:rFonts w:ascii="Times New Roman" w:hAnsi="Times New Roman" w:cs="Times New Roman"/>
          <w:color w:val="000000"/>
          <w:spacing w:val="-1"/>
          <w:sz w:val="26"/>
          <w:szCs w:val="26"/>
        </w:rPr>
        <w:t>91</w:t>
      </w:r>
      <w:r w:rsidR="00DE3E69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9839F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E3E6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Във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всички районни съдилища е налице </w:t>
      </w:r>
      <w:r w:rsidR="004B06C2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повишение по този</w:t>
      </w:r>
      <w:r w:rsidR="00B958D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показател</w:t>
      </w:r>
      <w:r w:rsidR="004B06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сравнение с 2022 г.</w:t>
      </w:r>
      <w:r w:rsidR="00DE3E6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но по-ниски стойности при съпоставка с 2021 г. </w:t>
      </w:r>
    </w:p>
    <w:p w:rsidR="009839F2" w:rsidRDefault="00DE3E69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Данните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 </w:t>
      </w:r>
      <w:proofErr w:type="spellStart"/>
      <w:r w:rsidR="001326C2">
        <w:rPr>
          <w:rFonts w:ascii="Times New Roman" w:hAnsi="Times New Roman" w:cs="Times New Roman"/>
          <w:bCs/>
          <w:sz w:val="26"/>
          <w:szCs w:val="26"/>
        </w:rPr>
        <w:t>срочността</w:t>
      </w:r>
      <w:proofErr w:type="spellEnd"/>
      <w:r w:rsidR="001326C2">
        <w:rPr>
          <w:rFonts w:ascii="Times New Roman" w:hAnsi="Times New Roman" w:cs="Times New Roman"/>
          <w:bCs/>
          <w:sz w:val="26"/>
          <w:szCs w:val="26"/>
        </w:rPr>
        <w:t xml:space="preserve"> при разглеждане и решаване на делата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показват най-висок процент на свършени в тримесечен срок дела в Районен съд – Трявна – 96%</w:t>
      </w:r>
      <w:r w:rsidR="008544D4">
        <w:rPr>
          <w:rFonts w:ascii="Times New Roman" w:hAnsi="Times New Roman" w:cs="Times New Roman"/>
          <w:bCs/>
          <w:sz w:val="26"/>
          <w:szCs w:val="26"/>
        </w:rPr>
        <w:t>.</w:t>
      </w:r>
      <w:r w:rsidR="001326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44D4">
        <w:rPr>
          <w:rFonts w:ascii="Times New Roman" w:hAnsi="Times New Roman" w:cs="Times New Roman"/>
          <w:bCs/>
          <w:sz w:val="26"/>
          <w:szCs w:val="26"/>
        </w:rPr>
        <w:t>Там се отчита и подобрение по този критерий в сравнение с предходните две години</w:t>
      </w:r>
      <w:r w:rsidR="001326C2">
        <w:rPr>
          <w:rFonts w:ascii="Times New Roman" w:hAnsi="Times New Roman" w:cs="Times New Roman"/>
          <w:bCs/>
          <w:sz w:val="26"/>
          <w:szCs w:val="26"/>
        </w:rPr>
        <w:t>.</w:t>
      </w:r>
      <w:r w:rsidR="008544D4">
        <w:rPr>
          <w:rFonts w:ascii="Times New Roman" w:hAnsi="Times New Roman" w:cs="Times New Roman"/>
          <w:bCs/>
          <w:sz w:val="26"/>
          <w:szCs w:val="26"/>
        </w:rPr>
        <w:t xml:space="preserve"> В Габровски районен съд  се запазва процентното съотношение от 2022 г. </w:t>
      </w:r>
      <w:r w:rsidR="00A3697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544D4">
        <w:rPr>
          <w:rFonts w:ascii="Times New Roman" w:hAnsi="Times New Roman" w:cs="Times New Roman"/>
          <w:bCs/>
          <w:sz w:val="26"/>
          <w:szCs w:val="26"/>
        </w:rPr>
        <w:t xml:space="preserve">90% от свършените дела са приключили в тримесечен срок, а в районните съдилища в Севлиево и Дряново се отчита лек спад по този показател </w:t>
      </w:r>
      <w:r w:rsidR="00A3697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544D4">
        <w:rPr>
          <w:rFonts w:ascii="Times New Roman" w:hAnsi="Times New Roman" w:cs="Times New Roman"/>
          <w:bCs/>
          <w:sz w:val="26"/>
          <w:szCs w:val="26"/>
        </w:rPr>
        <w:t xml:space="preserve">съответно 88% </w:t>
      </w:r>
      <w:r w:rsidR="006B4A67">
        <w:rPr>
          <w:rFonts w:ascii="Times New Roman" w:hAnsi="Times New Roman" w:cs="Times New Roman"/>
          <w:bCs/>
          <w:sz w:val="26"/>
          <w:szCs w:val="26"/>
        </w:rPr>
        <w:t>за Севлиевски районен съд и 89% за Районен съд – Дряново.</w:t>
      </w:r>
    </w:p>
    <w:p w:rsidR="00952E1D" w:rsidRDefault="00952E1D" w:rsidP="00041E99">
      <w:pPr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2F272A" w:rsidRPr="00952E1D" w:rsidRDefault="002F272A" w:rsidP="00041E99">
      <w:pPr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49051F" w:rsidRDefault="0049051F" w:rsidP="00C266F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8480E94" wp14:editId="7F643B1F">
            <wp:extent cx="3275937" cy="2282024"/>
            <wp:effectExtent l="0" t="0" r="20320" b="234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525C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F50FD2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693F8413" wp14:editId="44BAB521">
            <wp:extent cx="3267986" cy="2282024"/>
            <wp:effectExtent l="0" t="0" r="27940" b="2349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51F" w:rsidRDefault="0049051F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332" w:rsidRDefault="0049051F" w:rsidP="00C266FC">
      <w:pPr>
        <w:jc w:val="both"/>
        <w:rPr>
          <w:rFonts w:ascii="Times New Roman" w:hAnsi="Times New Roman" w:cs="Times New Roman"/>
          <w:bCs/>
          <w:sz w:val="12"/>
          <w:szCs w:val="12"/>
        </w:rPr>
      </w:pPr>
      <w:r w:rsidRPr="00FB5D1D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lastRenderedPageBreak/>
        <w:drawing>
          <wp:inline distT="0" distB="0" distL="0" distR="0" wp14:anchorId="26EDB900" wp14:editId="08DEEC60">
            <wp:extent cx="3283888" cy="2305879"/>
            <wp:effectExtent l="0" t="0" r="12065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525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3299791" cy="2305879"/>
            <wp:effectExtent l="0" t="0" r="15240" b="184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25CE" w:rsidRPr="004525CE" w:rsidRDefault="004525CE" w:rsidP="00C266FC">
      <w:pPr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2F272A" w:rsidRDefault="002F272A" w:rsidP="002F27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06C19">
        <w:rPr>
          <w:rFonts w:ascii="Times New Roman" w:hAnsi="Times New Roman" w:cs="Times New Roman"/>
          <w:sz w:val="26"/>
          <w:szCs w:val="26"/>
        </w:rPr>
        <w:t xml:space="preserve">рез </w:t>
      </w:r>
      <w:r w:rsidR="005F7BFD">
        <w:rPr>
          <w:rFonts w:ascii="Times New Roman" w:hAnsi="Times New Roman" w:cs="Times New Roman"/>
          <w:sz w:val="26"/>
          <w:szCs w:val="26"/>
        </w:rPr>
        <w:t xml:space="preserve">изминалата </w:t>
      </w:r>
      <w:r w:rsidR="00806C19">
        <w:rPr>
          <w:rFonts w:ascii="Times New Roman" w:hAnsi="Times New Roman" w:cs="Times New Roman"/>
          <w:sz w:val="26"/>
          <w:szCs w:val="26"/>
        </w:rPr>
        <w:t xml:space="preserve">2023 г. се </w:t>
      </w:r>
      <w:r w:rsidR="005F7BFD">
        <w:rPr>
          <w:rFonts w:ascii="Times New Roman" w:hAnsi="Times New Roman" w:cs="Times New Roman"/>
          <w:sz w:val="26"/>
          <w:szCs w:val="26"/>
        </w:rPr>
        <w:t>констатира</w:t>
      </w:r>
      <w:r w:rsidR="00806C19">
        <w:rPr>
          <w:rFonts w:ascii="Times New Roman" w:hAnsi="Times New Roman" w:cs="Times New Roman"/>
          <w:sz w:val="26"/>
          <w:szCs w:val="26"/>
        </w:rPr>
        <w:t xml:space="preserve"> повишаване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D1D">
        <w:rPr>
          <w:rFonts w:ascii="Times New Roman" w:hAnsi="Times New Roman" w:cs="Times New Roman"/>
          <w:sz w:val="26"/>
          <w:szCs w:val="26"/>
        </w:rPr>
        <w:t>натовареността на съдиите</w:t>
      </w:r>
      <w:r w:rsidR="00806C19">
        <w:rPr>
          <w:rFonts w:ascii="Times New Roman" w:hAnsi="Times New Roman" w:cs="Times New Roman"/>
          <w:sz w:val="26"/>
          <w:szCs w:val="26"/>
        </w:rPr>
        <w:t xml:space="preserve"> във всички районни съдилища </w:t>
      </w:r>
      <w:r w:rsidR="005F7BFD">
        <w:rPr>
          <w:rFonts w:ascii="Times New Roman" w:hAnsi="Times New Roman" w:cs="Times New Roman"/>
          <w:sz w:val="26"/>
          <w:szCs w:val="26"/>
        </w:rPr>
        <w:t xml:space="preserve">от съдебния окръг, </w:t>
      </w:r>
      <w:r w:rsidR="00806C19">
        <w:rPr>
          <w:rFonts w:ascii="Times New Roman" w:hAnsi="Times New Roman" w:cs="Times New Roman"/>
          <w:sz w:val="26"/>
          <w:szCs w:val="26"/>
        </w:rPr>
        <w:t xml:space="preserve">в сравнение с </w:t>
      </w:r>
      <w:r w:rsidR="005F7BFD">
        <w:rPr>
          <w:rFonts w:ascii="Times New Roman" w:hAnsi="Times New Roman" w:cs="Times New Roman"/>
          <w:sz w:val="26"/>
          <w:szCs w:val="26"/>
        </w:rPr>
        <w:t>предходната 2022 г. С</w:t>
      </w:r>
      <w:r w:rsidRPr="00FB5D1D">
        <w:rPr>
          <w:rFonts w:ascii="Times New Roman" w:hAnsi="Times New Roman" w:cs="Times New Roman"/>
          <w:sz w:val="26"/>
          <w:szCs w:val="26"/>
        </w:rPr>
        <w:t>татистическите данни сочат</w:t>
      </w:r>
      <w:r>
        <w:rPr>
          <w:rFonts w:ascii="Times New Roman" w:hAnsi="Times New Roman" w:cs="Times New Roman"/>
          <w:sz w:val="26"/>
          <w:szCs w:val="26"/>
        </w:rPr>
        <w:t xml:space="preserve"> най-високи стойности </w:t>
      </w:r>
      <w:r w:rsidR="005F7BFD">
        <w:rPr>
          <w:rFonts w:ascii="Times New Roman" w:hAnsi="Times New Roman" w:cs="Times New Roman"/>
          <w:sz w:val="26"/>
          <w:szCs w:val="26"/>
        </w:rPr>
        <w:t xml:space="preserve">по този показател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FB5D1D">
        <w:rPr>
          <w:rFonts w:ascii="Times New Roman" w:hAnsi="Times New Roman" w:cs="Times New Roman"/>
          <w:sz w:val="26"/>
          <w:szCs w:val="26"/>
        </w:rPr>
        <w:t xml:space="preserve"> Районен съд – Севлиево</w:t>
      </w:r>
      <w:r w:rsidR="00A83673">
        <w:rPr>
          <w:rFonts w:ascii="Times New Roman" w:hAnsi="Times New Roman" w:cs="Times New Roman"/>
          <w:sz w:val="26"/>
          <w:szCs w:val="26"/>
        </w:rPr>
        <w:t>, където</w:t>
      </w:r>
      <w:r w:rsidR="00C333F5">
        <w:rPr>
          <w:rFonts w:ascii="Times New Roman" w:hAnsi="Times New Roman" w:cs="Times New Roman"/>
          <w:sz w:val="26"/>
          <w:szCs w:val="26"/>
        </w:rPr>
        <w:t xml:space="preserve"> действителната натовареност по отношение делата за разглеждане е 44,65 бр. месечно на съдия</w:t>
      </w:r>
      <w:r w:rsidR="00A83673">
        <w:rPr>
          <w:rFonts w:ascii="Times New Roman" w:hAnsi="Times New Roman" w:cs="Times New Roman"/>
          <w:sz w:val="26"/>
          <w:szCs w:val="26"/>
        </w:rPr>
        <w:t xml:space="preserve">. </w:t>
      </w:r>
      <w:r w:rsidR="00A83673" w:rsidRPr="00A83673">
        <w:rPr>
          <w:rFonts w:ascii="Times New Roman" w:hAnsi="Times New Roman" w:cs="Times New Roman"/>
          <w:sz w:val="26"/>
          <w:szCs w:val="26"/>
        </w:rPr>
        <w:t>Съответно в</w:t>
      </w:r>
      <w:r w:rsidR="000A1F05" w:rsidRPr="00A83673">
        <w:rPr>
          <w:rFonts w:ascii="Times New Roman" w:hAnsi="Times New Roman" w:cs="Times New Roman"/>
          <w:sz w:val="26"/>
          <w:szCs w:val="26"/>
        </w:rPr>
        <w:t xml:space="preserve"> </w:t>
      </w:r>
      <w:r w:rsidRPr="00A83673">
        <w:rPr>
          <w:rFonts w:ascii="Times New Roman" w:hAnsi="Times New Roman" w:cs="Times New Roman"/>
          <w:sz w:val="26"/>
          <w:szCs w:val="26"/>
        </w:rPr>
        <w:t>Районен съд – Габрово</w:t>
      </w:r>
      <w:r w:rsidR="000A1F05" w:rsidRPr="00A83673">
        <w:rPr>
          <w:rFonts w:ascii="Times New Roman" w:hAnsi="Times New Roman" w:cs="Times New Roman"/>
          <w:sz w:val="26"/>
          <w:szCs w:val="26"/>
        </w:rPr>
        <w:t xml:space="preserve"> </w:t>
      </w:r>
      <w:r w:rsidR="00A83673">
        <w:rPr>
          <w:rFonts w:ascii="Times New Roman" w:hAnsi="Times New Roman" w:cs="Times New Roman"/>
          <w:sz w:val="26"/>
          <w:szCs w:val="26"/>
        </w:rPr>
        <w:t xml:space="preserve">действителната натовареност е 37,35 дела за разглеждане месечно на съдия, в </w:t>
      </w:r>
      <w:r w:rsidR="00056A51" w:rsidRPr="00DE11CF">
        <w:rPr>
          <w:rFonts w:ascii="Times New Roman" w:hAnsi="Times New Roman" w:cs="Times New Roman"/>
          <w:sz w:val="26"/>
          <w:szCs w:val="26"/>
        </w:rPr>
        <w:t xml:space="preserve">Районен съд - Дряново </w:t>
      </w:r>
      <w:r w:rsidR="00A83673" w:rsidRPr="00DE11CF">
        <w:rPr>
          <w:rFonts w:ascii="Times New Roman" w:hAnsi="Times New Roman" w:cs="Times New Roman"/>
          <w:sz w:val="26"/>
          <w:szCs w:val="26"/>
        </w:rPr>
        <w:t xml:space="preserve">– 29,88 </w:t>
      </w:r>
      <w:r w:rsidR="00DE11CF" w:rsidRPr="00DE11CF">
        <w:rPr>
          <w:rFonts w:ascii="Times New Roman" w:hAnsi="Times New Roman" w:cs="Times New Roman"/>
          <w:sz w:val="26"/>
          <w:szCs w:val="26"/>
        </w:rPr>
        <w:t xml:space="preserve">дела и </w:t>
      </w:r>
      <w:r w:rsidR="000772BD" w:rsidRPr="00DE11CF">
        <w:rPr>
          <w:rFonts w:ascii="Times New Roman" w:hAnsi="Times New Roman" w:cs="Times New Roman"/>
          <w:sz w:val="26"/>
          <w:szCs w:val="26"/>
        </w:rPr>
        <w:t xml:space="preserve">в Районен съд – Трявна </w:t>
      </w:r>
      <w:r w:rsidR="00A36970">
        <w:rPr>
          <w:rFonts w:ascii="Times New Roman" w:hAnsi="Times New Roman" w:cs="Times New Roman"/>
          <w:sz w:val="26"/>
          <w:szCs w:val="26"/>
        </w:rPr>
        <w:t>се отчита</w:t>
      </w:r>
      <w:r w:rsidR="00DE11CF" w:rsidRPr="00DE11CF">
        <w:rPr>
          <w:rFonts w:ascii="Times New Roman" w:hAnsi="Times New Roman" w:cs="Times New Roman"/>
          <w:sz w:val="26"/>
          <w:szCs w:val="26"/>
        </w:rPr>
        <w:t xml:space="preserve"> действителната натовареност от 20,33 дела за разглеждане месечно на съдия</w:t>
      </w:r>
      <w:r w:rsidR="000772BD" w:rsidRPr="00DE11CF">
        <w:rPr>
          <w:rFonts w:ascii="Times New Roman" w:hAnsi="Times New Roman" w:cs="Times New Roman"/>
          <w:sz w:val="26"/>
          <w:szCs w:val="26"/>
        </w:rPr>
        <w:t>.</w:t>
      </w:r>
    </w:p>
    <w:p w:rsidR="000772BD" w:rsidRDefault="000772BD" w:rsidP="002F272A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4525CE" w:rsidRPr="004525CE" w:rsidRDefault="004525CE" w:rsidP="002F272A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1A6399" w:rsidRDefault="001A6399" w:rsidP="001A63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3212327" cy="2297927"/>
            <wp:effectExtent l="0" t="0" r="2667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525CE">
        <w:rPr>
          <w:rFonts w:ascii="Times New Roman" w:hAnsi="Times New Roman" w:cs="Times New Roman"/>
          <w:sz w:val="26"/>
          <w:szCs w:val="26"/>
        </w:rPr>
        <w:t xml:space="preserve">   </w:t>
      </w:r>
      <w:r w:rsidR="00CA040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3291840" cy="2305878"/>
            <wp:effectExtent l="0" t="0" r="22860" b="1841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52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256" w:rsidRDefault="00A75256" w:rsidP="001A639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A75256" w:rsidRDefault="00A75256" w:rsidP="001A6399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val="en-US" w:eastAsia="en-US"/>
        </w:rPr>
        <w:lastRenderedPageBreak/>
        <w:drawing>
          <wp:inline distT="0" distB="0" distL="0" distR="0">
            <wp:extent cx="3212327" cy="2536466"/>
            <wp:effectExtent l="0" t="0" r="26670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772BD">
        <w:rPr>
          <w:rFonts w:ascii="Times New Roman" w:hAnsi="Times New Roman" w:cs="Times New Roman"/>
          <w:sz w:val="12"/>
          <w:szCs w:val="12"/>
        </w:rPr>
        <w:t xml:space="preserve">   </w:t>
      </w:r>
      <w:r w:rsidR="00163C18">
        <w:rPr>
          <w:rFonts w:ascii="Times New Roman" w:hAnsi="Times New Roman" w:cs="Times New Roman"/>
          <w:sz w:val="12"/>
          <w:szCs w:val="12"/>
        </w:rPr>
        <w:t xml:space="preserve">   </w:t>
      </w:r>
      <w:r w:rsidR="000772BD">
        <w:rPr>
          <w:rFonts w:ascii="Times New Roman" w:hAnsi="Times New Roman" w:cs="Times New Roman"/>
          <w:noProof/>
          <w:sz w:val="12"/>
          <w:szCs w:val="12"/>
          <w:lang w:val="en-US" w:eastAsia="en-US"/>
        </w:rPr>
        <w:drawing>
          <wp:inline distT="0" distB="0" distL="0" distR="0">
            <wp:extent cx="3291840" cy="2536466"/>
            <wp:effectExtent l="0" t="0" r="22860" b="165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1714" w:rsidRPr="00A75256" w:rsidRDefault="00751714" w:rsidP="001A639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F272A" w:rsidRPr="004A3B45" w:rsidRDefault="00535615" w:rsidP="002F272A">
      <w:pPr>
        <w:ind w:right="-6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 данните в</w:t>
      </w:r>
      <w:r w:rsidR="001A6399" w:rsidRPr="002F272A">
        <w:rPr>
          <w:rFonts w:ascii="Times New Roman" w:hAnsi="Times New Roman" w:cs="Times New Roman"/>
          <w:sz w:val="26"/>
          <w:szCs w:val="26"/>
        </w:rPr>
        <w:t xml:space="preserve"> Годишния </w:t>
      </w:r>
      <w:r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1A6399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видно</w:t>
      </w:r>
      <w:r w:rsidR="002F272A">
        <w:rPr>
          <w:rFonts w:ascii="Times New Roman" w:hAnsi="Times New Roman" w:cs="Times New Roman"/>
          <w:sz w:val="26"/>
          <w:szCs w:val="26"/>
        </w:rPr>
        <w:t xml:space="preserve">, 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че </w:t>
      </w:r>
      <w:r w:rsidR="00751714">
        <w:rPr>
          <w:rFonts w:ascii="Times New Roman" w:hAnsi="Times New Roman" w:cs="Times New Roman"/>
          <w:sz w:val="26"/>
          <w:szCs w:val="26"/>
        </w:rPr>
        <w:t xml:space="preserve">през отчетния период </w:t>
      </w:r>
      <w:r w:rsidR="00210972">
        <w:rPr>
          <w:rFonts w:ascii="Times New Roman" w:hAnsi="Times New Roman" w:cs="Times New Roman"/>
          <w:sz w:val="26"/>
          <w:szCs w:val="26"/>
        </w:rPr>
        <w:t>в районните съдилища</w:t>
      </w:r>
      <w:r w:rsidR="00210972" w:rsidRPr="002F272A">
        <w:rPr>
          <w:rFonts w:ascii="Times New Roman" w:hAnsi="Times New Roman" w:cs="Times New Roman"/>
          <w:sz w:val="26"/>
          <w:szCs w:val="26"/>
        </w:rPr>
        <w:t xml:space="preserve"> 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е запазено качеството на </w:t>
      </w:r>
      <w:r w:rsidR="00751714">
        <w:rPr>
          <w:rFonts w:ascii="Times New Roman" w:hAnsi="Times New Roman" w:cs="Times New Roman"/>
          <w:sz w:val="26"/>
          <w:szCs w:val="26"/>
        </w:rPr>
        <w:t>правораздаването</w:t>
      </w:r>
      <w:r w:rsidR="00B32928">
        <w:rPr>
          <w:rFonts w:ascii="Times New Roman" w:hAnsi="Times New Roman" w:cs="Times New Roman"/>
          <w:sz w:val="26"/>
          <w:szCs w:val="26"/>
        </w:rPr>
        <w:t>, като се има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предвид </w:t>
      </w:r>
      <w:r w:rsidR="00A36970">
        <w:rPr>
          <w:rFonts w:ascii="Times New Roman" w:hAnsi="Times New Roman" w:cs="Times New Roman"/>
          <w:sz w:val="26"/>
          <w:szCs w:val="26"/>
        </w:rPr>
        <w:t>неголемия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брой обжалвани актове спрямо общия брой постановени и подлежащи на обжалване такива</w:t>
      </w:r>
      <w:r w:rsidR="004A3B45">
        <w:rPr>
          <w:rFonts w:ascii="Times New Roman" w:hAnsi="Times New Roman" w:cs="Times New Roman"/>
          <w:sz w:val="26"/>
          <w:szCs w:val="26"/>
        </w:rPr>
        <w:t>.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</w:t>
      </w:r>
      <w:r w:rsidR="00B32928">
        <w:rPr>
          <w:rFonts w:ascii="Times New Roman" w:hAnsi="Times New Roman" w:cs="Times New Roman"/>
          <w:sz w:val="26"/>
          <w:szCs w:val="26"/>
        </w:rPr>
        <w:t>В подкрепа на това заключение са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</w:t>
      </w:r>
      <w:r w:rsidR="006705D6">
        <w:rPr>
          <w:rFonts w:ascii="Times New Roman" w:hAnsi="Times New Roman" w:cs="Times New Roman"/>
          <w:sz w:val="26"/>
          <w:szCs w:val="26"/>
        </w:rPr>
        <w:t>и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резултати</w:t>
      </w:r>
      <w:r w:rsidR="006705D6">
        <w:rPr>
          <w:rFonts w:ascii="Times New Roman" w:hAnsi="Times New Roman" w:cs="Times New Roman"/>
          <w:sz w:val="26"/>
          <w:szCs w:val="26"/>
        </w:rPr>
        <w:t>те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2F272A" w:rsidRPr="002F272A">
        <w:rPr>
          <w:rFonts w:ascii="Times New Roman" w:hAnsi="Times New Roman" w:cs="Times New Roman"/>
          <w:sz w:val="26"/>
          <w:szCs w:val="26"/>
        </w:rPr>
        <w:t>инстанционния</w:t>
      </w:r>
      <w:proofErr w:type="spellEnd"/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2657BB">
        <w:rPr>
          <w:rFonts w:ascii="Times New Roman" w:hAnsi="Times New Roman" w:cs="Times New Roman"/>
          <w:sz w:val="26"/>
          <w:szCs w:val="26"/>
        </w:rPr>
        <w:t xml:space="preserve">, които показват, че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="004619E4">
        <w:rPr>
          <w:rFonts w:ascii="Times New Roman" w:hAnsi="Times New Roman" w:cs="Times New Roman"/>
          <w:sz w:val="26"/>
          <w:szCs w:val="26"/>
        </w:rPr>
        <w:t xml:space="preserve"> </w:t>
      </w:r>
      <w:r w:rsidR="002657BB">
        <w:rPr>
          <w:rFonts w:ascii="Times New Roman" w:hAnsi="Times New Roman" w:cs="Times New Roman"/>
          <w:sz w:val="26"/>
          <w:szCs w:val="26"/>
        </w:rPr>
        <w:t xml:space="preserve">60% от върнатите през годината обжалвани или </w:t>
      </w:r>
      <w:proofErr w:type="spellStart"/>
      <w:r w:rsidR="002657BB">
        <w:rPr>
          <w:rFonts w:ascii="Times New Roman" w:hAnsi="Times New Roman" w:cs="Times New Roman"/>
          <w:sz w:val="26"/>
          <w:szCs w:val="26"/>
        </w:rPr>
        <w:t>протестирани</w:t>
      </w:r>
      <w:proofErr w:type="spellEnd"/>
      <w:r w:rsidR="002657BB">
        <w:rPr>
          <w:rFonts w:ascii="Times New Roman" w:hAnsi="Times New Roman" w:cs="Times New Roman"/>
          <w:sz w:val="26"/>
          <w:szCs w:val="26"/>
        </w:rPr>
        <w:t xml:space="preserve"> актове </w:t>
      </w:r>
      <w:r w:rsidR="00815B5C">
        <w:rPr>
          <w:rFonts w:ascii="Times New Roman" w:hAnsi="Times New Roman" w:cs="Times New Roman"/>
          <w:sz w:val="26"/>
          <w:szCs w:val="26"/>
        </w:rPr>
        <w:t xml:space="preserve">на районните съдилища </w:t>
      </w:r>
      <w:r>
        <w:rPr>
          <w:rFonts w:ascii="Times New Roman" w:hAnsi="Times New Roman" w:cs="Times New Roman"/>
          <w:sz w:val="26"/>
          <w:szCs w:val="26"/>
        </w:rPr>
        <w:t xml:space="preserve">в Габрово, Севлиево и Трявна </w:t>
      </w:r>
      <w:r w:rsidR="002657BB">
        <w:rPr>
          <w:rFonts w:ascii="Times New Roman" w:hAnsi="Times New Roman" w:cs="Times New Roman"/>
          <w:sz w:val="26"/>
          <w:szCs w:val="26"/>
        </w:rPr>
        <w:t>са потвърдени изцяло</w:t>
      </w:r>
      <w:r>
        <w:rPr>
          <w:rFonts w:ascii="Times New Roman" w:hAnsi="Times New Roman" w:cs="Times New Roman"/>
          <w:sz w:val="26"/>
          <w:szCs w:val="26"/>
        </w:rPr>
        <w:t>, а за Районен съд – Дряново това съотношение достига 82%</w:t>
      </w:r>
      <w:r w:rsidR="002F272A" w:rsidRPr="002F272A">
        <w:rPr>
          <w:rFonts w:ascii="Times New Roman" w:hAnsi="Times New Roman" w:cs="Times New Roman"/>
          <w:sz w:val="26"/>
          <w:szCs w:val="26"/>
        </w:rPr>
        <w:t>.</w:t>
      </w:r>
    </w:p>
    <w:p w:rsidR="00E34674" w:rsidRDefault="00E34674" w:rsidP="00E3467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A60" w:rsidRPr="00FA2B24" w:rsidRDefault="00FA2B24" w:rsidP="00725D0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24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пълното съдържание на Годишния доклад може да се запознаете</w:t>
      </w:r>
      <w:bookmarkStart w:id="0" w:name="_GoBack"/>
      <w:bookmarkEnd w:id="0"/>
      <w:r w:rsidR="00321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9" w:history="1">
        <w:r w:rsidR="003216C7" w:rsidRPr="005F180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тук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1714" w:rsidRDefault="00751714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2657BB" w:rsidRDefault="002657BB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DC38A4" w:rsidRPr="00C3718F" w:rsidRDefault="001F76F7" w:rsidP="00725D0C">
      <w:pPr>
        <w:ind w:firstLine="708"/>
        <w:jc w:val="both"/>
        <w:rPr>
          <w:sz w:val="26"/>
          <w:szCs w:val="26"/>
        </w:rPr>
      </w:pPr>
      <w:r w:rsidRPr="00733E2F">
        <w:rPr>
          <w:rFonts w:ascii="Times New Roman" w:hAnsi="Times New Roman" w:cs="Times New Roman"/>
          <w:b/>
          <w:iCs/>
          <w:color w:val="632423" w:themeColor="accent2" w:themeShade="80"/>
          <w:sz w:val="26"/>
          <w:szCs w:val="26"/>
        </w:rPr>
        <w:t>2</w:t>
      </w:r>
      <w:r w:rsidR="000A1F05" w:rsidRPr="00733E2F">
        <w:rPr>
          <w:rFonts w:ascii="Times New Roman" w:hAnsi="Times New Roman" w:cs="Times New Roman"/>
          <w:b/>
          <w:iCs/>
          <w:color w:val="632423" w:themeColor="accent2" w:themeShade="80"/>
          <w:sz w:val="26"/>
          <w:szCs w:val="26"/>
        </w:rPr>
        <w:t>7</w:t>
      </w:r>
      <w:r w:rsidR="006B1B6E" w:rsidRPr="000A1F05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="004A748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март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20</w:t>
      </w:r>
      <w:r w:rsidR="004A748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2</w:t>
      </w:r>
      <w:r w:rsidR="000A1F05">
        <w:rPr>
          <w:rFonts w:ascii="Times New Roman" w:hAnsi="Times New Roman" w:cs="Times New Roman"/>
          <w:b/>
          <w:iCs/>
          <w:color w:val="632423"/>
          <w:sz w:val="26"/>
          <w:szCs w:val="26"/>
        </w:rPr>
        <w:t>4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г.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97033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056A51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056A51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  <w:t>„Връзки с обществеността“</w:t>
      </w:r>
    </w:p>
    <w:sectPr w:rsidR="00DC38A4" w:rsidRPr="00C3718F" w:rsidSect="00056A51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52" w:right="566" w:bottom="108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A7" w:rsidRDefault="00916EA7">
      <w:r>
        <w:separator/>
      </w:r>
    </w:p>
  </w:endnote>
  <w:endnote w:type="continuationSeparator" w:id="0">
    <w:p w:rsidR="00916EA7" w:rsidRDefault="009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B32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F69" w:rsidRDefault="00B65F69" w:rsidP="00BF19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FB" w:rsidRPr="001F5B86" w:rsidRDefault="000561FB" w:rsidP="00075D09">
    <w:pPr>
      <w:pStyle w:val="Footer"/>
      <w:framePr w:w="9555" w:wrap="around" w:vAnchor="text" w:hAnchor="page" w:x="1366" w:y="-546"/>
      <w:tabs>
        <w:tab w:val="clear" w:pos="4536"/>
        <w:tab w:val="clear" w:pos="9072"/>
      </w:tabs>
      <w:ind w:right="-81"/>
      <w:jc w:val="center"/>
    </w:pP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IF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PAGE </w:instrText>
    </w:r>
    <w:r w:rsidRPr="001F5B86">
      <w:rPr>
        <w:b/>
        <w:sz w:val="28"/>
        <w:szCs w:val="28"/>
        <w:lang w:val="en-US"/>
      </w:rPr>
      <w:fldChar w:fldCharType="separate"/>
    </w:r>
    <w:r w:rsidR="00EF698F">
      <w:rPr>
        <w:b/>
        <w:noProof/>
        <w:sz w:val="28"/>
        <w:szCs w:val="28"/>
        <w:lang w:val="en-US"/>
      </w:rPr>
      <w:instrText>4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=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NUMPAGES </w:instrText>
    </w:r>
    <w:r w:rsidRPr="001F5B86">
      <w:rPr>
        <w:b/>
        <w:sz w:val="28"/>
        <w:szCs w:val="28"/>
        <w:lang w:val="en-US"/>
      </w:rPr>
      <w:fldChar w:fldCharType="separate"/>
    </w:r>
    <w:r w:rsidR="00EF698F">
      <w:rPr>
        <w:b/>
        <w:noProof/>
        <w:sz w:val="28"/>
        <w:szCs w:val="28"/>
        <w:lang w:val="en-US"/>
      </w:rPr>
      <w:instrText>4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"</w:instrText>
    </w:r>
    <w:r w:rsidR="001A32BC" w:rsidRPr="001F5B86">
      <w:instrText xml:space="preserve"> </w:instrText>
    </w:r>
    <w:r w:rsidR="002B3E30" w:rsidRPr="001F5B86">
      <w:instrText>5300</w:instrText>
    </w:r>
    <w:r w:rsidR="00AC1119" w:rsidRPr="001F5B86">
      <w:instrText xml:space="preserve"> гр. </w:instrText>
    </w:r>
    <w:r w:rsidR="00F37E6E" w:rsidRPr="001F5B86">
      <w:instrText>Габрово</w:instrText>
    </w:r>
    <w:r w:rsidR="002B3E30" w:rsidRPr="001F5B86">
      <w:instrText>, п</w:instrText>
    </w:r>
    <w:r w:rsidR="00533FBE">
      <w:instrText>л.</w:instrText>
    </w:r>
    <w:r w:rsidR="00F37E6E" w:rsidRPr="001F5B86">
      <w:instrText>,,Възраждане''</w:instrText>
    </w:r>
    <w:r w:rsidR="00AC1119" w:rsidRPr="001F5B86">
      <w:instrText xml:space="preserve"> </w:instrText>
    </w:r>
    <w:r w:rsidR="002B3E30" w:rsidRPr="001F5B86">
      <w:instrText xml:space="preserve"> № 1</w:instrText>
    </w:r>
    <w:r w:rsidR="007748D0">
      <w:rPr>
        <w:lang w:val="bg-BG"/>
      </w:rPr>
      <w:instrText>,</w:instrText>
    </w:r>
    <w:r w:rsidR="001A32BC" w:rsidRPr="001F5B86">
      <w:instrText xml:space="preserve"> </w:instrText>
    </w:r>
    <w:r w:rsidR="00401EB9" w:rsidRPr="001F5B86">
      <w:instrText>тел.: 066/811 1</w:instrText>
    </w:r>
    <w:r w:rsidR="00401EB9">
      <w:rPr>
        <w:lang w:val="en-US"/>
      </w:rPr>
      <w:instrText>01</w:instrText>
    </w:r>
    <w:r w:rsidR="00401EB9">
      <w:rPr>
        <w:lang w:val="bg-BG"/>
      </w:rPr>
      <w:instrText xml:space="preserve">, </w:instrText>
    </w:r>
    <w:r w:rsidR="001A32BC" w:rsidRPr="001F5B86">
      <w:instrText xml:space="preserve">ел. поща: </w:instrText>
    </w:r>
    <w:r w:rsidR="00A33B6E">
      <w:rPr>
        <w:lang w:val="en-US"/>
      </w:rPr>
      <w:instrText>pr</w:instrText>
    </w:r>
    <w:r w:rsidR="002B3E30" w:rsidRPr="001F5B86">
      <w:rPr>
        <w:lang w:val="en-US"/>
      </w:rPr>
      <w:instrText>@court-gbr.com</w:instrText>
    </w:r>
    <w:r w:rsidRPr="001F5B86">
      <w:rPr>
        <w:b/>
        <w:sz w:val="28"/>
        <w:szCs w:val="28"/>
        <w:lang w:val="en-US"/>
      </w:rPr>
      <w:instrText>"</w:instrText>
    </w:r>
    <w:r w:rsidR="00EF698F">
      <w:rPr>
        <w:b/>
        <w:sz w:val="28"/>
        <w:szCs w:val="28"/>
        <w:lang w:val="en-US"/>
      </w:rPr>
      <w:fldChar w:fldCharType="separate"/>
    </w:r>
    <w:r w:rsidR="00EF698F" w:rsidRPr="001F5B86">
      <w:rPr>
        <w:noProof/>
      </w:rPr>
      <w:t xml:space="preserve"> 5300 гр. Габрово, п</w:t>
    </w:r>
    <w:r w:rsidR="00EF698F">
      <w:rPr>
        <w:noProof/>
      </w:rPr>
      <w:t>л.</w:t>
    </w:r>
    <w:r w:rsidR="00EF698F" w:rsidRPr="001F5B86">
      <w:rPr>
        <w:noProof/>
      </w:rPr>
      <w:t>,,Възраждане''  № 1</w:t>
    </w:r>
    <w:r w:rsidR="00EF698F">
      <w:rPr>
        <w:noProof/>
        <w:lang w:val="bg-BG"/>
      </w:rPr>
      <w:t>,</w:t>
    </w:r>
    <w:r w:rsidR="00EF698F" w:rsidRPr="001F5B86">
      <w:rPr>
        <w:noProof/>
      </w:rPr>
      <w:t xml:space="preserve"> тел.: 066/811 1</w:t>
    </w:r>
    <w:r w:rsidR="00EF698F">
      <w:rPr>
        <w:noProof/>
        <w:lang w:val="en-US"/>
      </w:rPr>
      <w:t>01</w:t>
    </w:r>
    <w:r w:rsidR="00EF698F">
      <w:rPr>
        <w:noProof/>
        <w:lang w:val="bg-BG"/>
      </w:rPr>
      <w:t xml:space="preserve">, </w:t>
    </w:r>
    <w:r w:rsidR="00EF698F" w:rsidRPr="001F5B86">
      <w:rPr>
        <w:noProof/>
      </w:rPr>
      <w:t xml:space="preserve">ел. поща: </w:t>
    </w:r>
    <w:r w:rsidR="00EF698F">
      <w:rPr>
        <w:noProof/>
        <w:lang w:val="en-US"/>
      </w:rPr>
      <w:t>pr</w:t>
    </w:r>
    <w:r w:rsidR="00EF698F" w:rsidRPr="001F5B86">
      <w:rPr>
        <w:noProof/>
        <w:lang w:val="en-US"/>
      </w:rPr>
      <w:t>@court-gbr.com</w:t>
    </w:r>
    <w:r w:rsidRPr="001F5B86">
      <w:rPr>
        <w:b/>
        <w:sz w:val="28"/>
        <w:szCs w:val="28"/>
        <w:lang w:val="en-US"/>
      </w:rPr>
      <w:fldChar w:fldCharType="end"/>
    </w:r>
  </w:p>
  <w:p w:rsidR="00B65F69" w:rsidRPr="00D46CB9" w:rsidRDefault="00B65F69" w:rsidP="00075D09">
    <w:pPr>
      <w:pStyle w:val="Footer"/>
      <w:framePr w:w="9555" w:wrap="around" w:vAnchor="text" w:hAnchor="page" w:x="1366" w:y="-546"/>
      <w:rPr>
        <w:rStyle w:val="PageNumber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9D796A">
    <w:pPr>
      <w:pStyle w:val="Footer"/>
      <w:tabs>
        <w:tab w:val="clear" w:pos="4536"/>
        <w:tab w:val="clear" w:pos="9072"/>
      </w:tabs>
      <w:ind w:right="-2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A7" w:rsidRDefault="00916EA7">
      <w:r>
        <w:separator/>
      </w:r>
    </w:p>
  </w:footnote>
  <w:footnote w:type="continuationSeparator" w:id="0">
    <w:p w:rsidR="00916EA7" w:rsidRDefault="0091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9" w:rsidRDefault="00D46CB9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284"/>
      <w:gridCol w:w="5670"/>
      <w:gridCol w:w="1334"/>
    </w:tblGrid>
    <w:tr w:rsidR="00910913" w:rsidTr="003D05C2">
      <w:tc>
        <w:tcPr>
          <w:tcW w:w="1951" w:type="dxa"/>
        </w:tcPr>
        <w:p w:rsidR="00D46CB9" w:rsidRDefault="00D46CB9">
          <w:pPr>
            <w:pStyle w:val="Header"/>
          </w:pPr>
        </w:p>
      </w:tc>
      <w:tc>
        <w:tcPr>
          <w:tcW w:w="284" w:type="dxa"/>
        </w:tcPr>
        <w:p w:rsidR="00D46CB9" w:rsidRDefault="00D46CB9">
          <w:pPr>
            <w:pStyle w:val="Header"/>
          </w:pPr>
        </w:p>
      </w:tc>
      <w:tc>
        <w:tcPr>
          <w:tcW w:w="5670" w:type="dxa"/>
          <w:vAlign w:val="center"/>
        </w:tcPr>
        <w:p w:rsidR="000561FB" w:rsidRDefault="00047BB6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EF698F">
            <w:rPr>
              <w:b/>
              <w:noProof/>
              <w:color w:val="948A54"/>
              <w:sz w:val="28"/>
              <w:szCs w:val="28"/>
              <w:lang w:val="en-US"/>
            </w:rPr>
            <w:instrText>4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 w:rsidR="000561FB">
            <w:rPr>
              <w:b/>
              <w:color w:val="948A54"/>
              <w:sz w:val="28"/>
              <w:szCs w:val="28"/>
            </w:rPr>
            <w:instrText xml:space="preserve">1 </w:instrText>
          </w:r>
          <w:r w:rsidR="000561FB">
            <w:rPr>
              <w:b/>
              <w:color w:val="948A54"/>
              <w:sz w:val="28"/>
              <w:szCs w:val="28"/>
              <w:lang w:val="en-US"/>
            </w:rPr>
            <w:instrText>"</w:instrText>
          </w:r>
          <w:r w:rsidR="000561FB" w:rsidRPr="00D46CB9">
            <w:rPr>
              <w:b/>
              <w:color w:val="948A54"/>
              <w:sz w:val="28"/>
              <w:szCs w:val="28"/>
            </w:rPr>
            <w:instrText>РЕПУБЛИКА БЪЛГАРИЯ</w:instrText>
          </w:r>
        </w:p>
        <w:p w:rsidR="000561FB" w:rsidRDefault="000561FB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</w:rPr>
            <w:instrText>ОКРЪЖЕН СЪД - ГАБРОВО</w:instrText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"</w:instrText>
          </w:r>
          <w:r w:rsidR="00047BB6"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  <w:p w:rsidR="00D46CB9" w:rsidRPr="000561FB" w:rsidRDefault="00910913" w:rsidP="000561FB">
          <w:pPr>
            <w:pStyle w:val="Header"/>
            <w:jc w:val="center"/>
            <w:rPr>
              <w:b/>
              <w:color w:val="948A54"/>
              <w:sz w:val="28"/>
              <w:szCs w:val="28"/>
              <w:lang w:val="en-US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EF698F">
            <w:rPr>
              <w:b/>
              <w:noProof/>
              <w:color w:val="948A54"/>
              <w:sz w:val="28"/>
              <w:szCs w:val="28"/>
              <w:lang w:val="en-US"/>
            </w:rPr>
            <w:instrText>4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NUMPAGES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EF698F">
            <w:rPr>
              <w:b/>
              <w:noProof/>
              <w:color w:val="948A54"/>
              <w:sz w:val="28"/>
              <w:szCs w:val="28"/>
              <w:lang w:val="en-US"/>
            </w:rPr>
            <w:instrText>4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</w:tc>
      <w:tc>
        <w:tcPr>
          <w:tcW w:w="1334" w:type="dxa"/>
        </w:tcPr>
        <w:p w:rsidR="00D46CB9" w:rsidRPr="003D05C2" w:rsidRDefault="00D46CB9" w:rsidP="00251FA8">
          <w:pPr>
            <w:pStyle w:val="Header"/>
            <w:jc w:val="center"/>
            <w:rPr>
              <w:color w:val="948A54"/>
            </w:rPr>
          </w:pPr>
        </w:p>
      </w:tc>
    </w:tr>
  </w:tbl>
  <w:p w:rsidR="00B65F69" w:rsidRPr="00AB22EC" w:rsidRDefault="00B65F69" w:rsidP="00F216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19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7105"/>
    </w:tblGrid>
    <w:tr w:rsidR="007F276B" w:rsidRPr="001F5B86" w:rsidTr="0071146D">
      <w:trPr>
        <w:trHeight w:val="1170"/>
      </w:trPr>
      <w:tc>
        <w:tcPr>
          <w:tcW w:w="2093" w:type="dxa"/>
          <w:vAlign w:val="center"/>
        </w:tcPr>
        <w:p w:rsidR="007F276B" w:rsidRPr="001128D3" w:rsidRDefault="00056A51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highlight w:val="yellow"/>
              <w:lang w:val="en-US"/>
            </w:rPr>
          </w:pPr>
          <w:r>
            <w:rPr>
              <w:b/>
              <w:noProof/>
              <w:sz w:val="32"/>
              <w:szCs w:val="3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3BB3CC3" wp14:editId="3116D10B">
                    <wp:simplePos x="0" y="0"/>
                    <wp:positionH relativeFrom="column">
                      <wp:posOffset>62230</wp:posOffset>
                    </wp:positionH>
                    <wp:positionV relativeFrom="paragraph">
                      <wp:posOffset>563245</wp:posOffset>
                    </wp:positionV>
                    <wp:extent cx="6424295" cy="0"/>
                    <wp:effectExtent l="0" t="0" r="14605" b="19050"/>
                    <wp:wrapNone/>
                    <wp:docPr id="2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2429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44.35pt" to="510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"/>
                </w:pict>
              </mc:Fallback>
            </mc:AlternateContent>
          </w:r>
        </w:p>
      </w:tc>
      <w:tc>
        <w:tcPr>
          <w:tcW w:w="7105" w:type="dxa"/>
          <w:vAlign w:val="center"/>
        </w:tcPr>
        <w:p w:rsidR="007F276B" w:rsidRPr="001F5B86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2"/>
              <w:szCs w:val="32"/>
            </w:rPr>
          </w:pPr>
          <w:r w:rsidRPr="001F5B86">
            <w:rPr>
              <w:b/>
              <w:sz w:val="32"/>
              <w:szCs w:val="32"/>
            </w:rPr>
            <w:t>РЕПУБЛИКА БЪЛГАРИЯ</w:t>
          </w:r>
        </w:p>
        <w:p w:rsidR="007F276B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  <w:r w:rsidRPr="001F5B86">
            <w:rPr>
              <w:b/>
              <w:sz w:val="36"/>
              <w:szCs w:val="36"/>
            </w:rPr>
            <w:t xml:space="preserve">ОКРЪЖЕН СЪД </w:t>
          </w:r>
          <w:r w:rsidR="0071146D">
            <w:rPr>
              <w:b/>
              <w:sz w:val="36"/>
              <w:szCs w:val="36"/>
            </w:rPr>
            <w:t>–</w:t>
          </w:r>
          <w:r w:rsidRPr="001F5B86">
            <w:rPr>
              <w:b/>
              <w:sz w:val="36"/>
              <w:szCs w:val="36"/>
            </w:rPr>
            <w:t xml:space="preserve"> ГАБРОВО</w:t>
          </w:r>
        </w:p>
        <w:p w:rsidR="0071146D" w:rsidRPr="0071146D" w:rsidRDefault="0071146D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</w:p>
      </w:tc>
    </w:tr>
  </w:tbl>
  <w:p w:rsidR="00B65F69" w:rsidRDefault="00F113E2" w:rsidP="00F1725C">
    <w:pPr>
      <w:pStyle w:val="Header"/>
      <w:tabs>
        <w:tab w:val="clear" w:pos="4536"/>
        <w:tab w:val="center" w:pos="4320"/>
      </w:tabs>
      <w:rPr>
        <w:lang w:val="en-US"/>
      </w:rPr>
    </w:pPr>
    <w:r>
      <w:rPr>
        <w:b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8ED5C" wp14:editId="7596C2C7">
              <wp:simplePos x="0" y="0"/>
              <wp:positionH relativeFrom="column">
                <wp:posOffset>967105</wp:posOffset>
              </wp:positionH>
              <wp:positionV relativeFrom="paragraph">
                <wp:posOffset>800100</wp:posOffset>
              </wp:positionV>
              <wp:extent cx="635" cy="635"/>
              <wp:effectExtent l="5080" t="9525" r="13335" b="889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6.15pt;margin-top:6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1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39B0EBD" wp14:editId="2E914400">
          <wp:simplePos x="0" y="0"/>
          <wp:positionH relativeFrom="column">
            <wp:posOffset>62230</wp:posOffset>
          </wp:positionH>
          <wp:positionV relativeFrom="paragraph">
            <wp:posOffset>-59690</wp:posOffset>
          </wp:positionV>
          <wp:extent cx="904875" cy="6953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94" r="42131" b="37607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2A"/>
    <w:multiLevelType w:val="hybridMultilevel"/>
    <w:tmpl w:val="3A925F6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E2DF0"/>
    <w:multiLevelType w:val="multilevel"/>
    <w:tmpl w:val="2FC61E4C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6031889"/>
    <w:multiLevelType w:val="hybridMultilevel"/>
    <w:tmpl w:val="FEDABD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301BE"/>
    <w:multiLevelType w:val="hybridMultilevel"/>
    <w:tmpl w:val="F842B7D0"/>
    <w:lvl w:ilvl="0" w:tplc="FA1CB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 style="mso-position-horizontal-relative:margin;mso-position-vertical-relative:margin" fillcolor="none [1305]" stroke="f">
      <v:fill color="none [13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E"/>
    <w:rsid w:val="000023AE"/>
    <w:rsid w:val="0000365E"/>
    <w:rsid w:val="000036C6"/>
    <w:rsid w:val="00003D44"/>
    <w:rsid w:val="00005DE3"/>
    <w:rsid w:val="00011EEE"/>
    <w:rsid w:val="000129F2"/>
    <w:rsid w:val="0001328B"/>
    <w:rsid w:val="00013CAE"/>
    <w:rsid w:val="0001427D"/>
    <w:rsid w:val="0001463C"/>
    <w:rsid w:val="00014B1F"/>
    <w:rsid w:val="00015B48"/>
    <w:rsid w:val="00017BDD"/>
    <w:rsid w:val="000213B8"/>
    <w:rsid w:val="00027E25"/>
    <w:rsid w:val="000305C4"/>
    <w:rsid w:val="00030790"/>
    <w:rsid w:val="00030EAC"/>
    <w:rsid w:val="00031D96"/>
    <w:rsid w:val="00032F02"/>
    <w:rsid w:val="00032FAB"/>
    <w:rsid w:val="00033EA7"/>
    <w:rsid w:val="0003462F"/>
    <w:rsid w:val="0003495C"/>
    <w:rsid w:val="0003673D"/>
    <w:rsid w:val="00036A17"/>
    <w:rsid w:val="00037EBD"/>
    <w:rsid w:val="000414D3"/>
    <w:rsid w:val="00041E99"/>
    <w:rsid w:val="0004365C"/>
    <w:rsid w:val="00043FCA"/>
    <w:rsid w:val="0004576C"/>
    <w:rsid w:val="00046A06"/>
    <w:rsid w:val="00047A4B"/>
    <w:rsid w:val="00047BB6"/>
    <w:rsid w:val="00050E5E"/>
    <w:rsid w:val="00054B5A"/>
    <w:rsid w:val="00055AAD"/>
    <w:rsid w:val="00055B7A"/>
    <w:rsid w:val="000561FB"/>
    <w:rsid w:val="0005673E"/>
    <w:rsid w:val="00056A51"/>
    <w:rsid w:val="00060405"/>
    <w:rsid w:val="000610A4"/>
    <w:rsid w:val="0006269A"/>
    <w:rsid w:val="00063DCA"/>
    <w:rsid w:val="00063E15"/>
    <w:rsid w:val="00067A14"/>
    <w:rsid w:val="00072826"/>
    <w:rsid w:val="000729AF"/>
    <w:rsid w:val="00073D78"/>
    <w:rsid w:val="00074470"/>
    <w:rsid w:val="00074F13"/>
    <w:rsid w:val="00075D09"/>
    <w:rsid w:val="000760F2"/>
    <w:rsid w:val="000772BD"/>
    <w:rsid w:val="0008117E"/>
    <w:rsid w:val="00081254"/>
    <w:rsid w:val="00082229"/>
    <w:rsid w:val="00087989"/>
    <w:rsid w:val="000903BE"/>
    <w:rsid w:val="000932D1"/>
    <w:rsid w:val="0009607F"/>
    <w:rsid w:val="00096E5F"/>
    <w:rsid w:val="000A053B"/>
    <w:rsid w:val="000A0839"/>
    <w:rsid w:val="000A15DB"/>
    <w:rsid w:val="000A1F05"/>
    <w:rsid w:val="000A64AA"/>
    <w:rsid w:val="000B0478"/>
    <w:rsid w:val="000B2650"/>
    <w:rsid w:val="000B39CE"/>
    <w:rsid w:val="000B4F96"/>
    <w:rsid w:val="000C26C8"/>
    <w:rsid w:val="000C336E"/>
    <w:rsid w:val="000C3EC6"/>
    <w:rsid w:val="000C46C4"/>
    <w:rsid w:val="000C53CF"/>
    <w:rsid w:val="000C56F8"/>
    <w:rsid w:val="000C7C33"/>
    <w:rsid w:val="000D5397"/>
    <w:rsid w:val="000E3AB9"/>
    <w:rsid w:val="000E6366"/>
    <w:rsid w:val="000E6830"/>
    <w:rsid w:val="000F222E"/>
    <w:rsid w:val="000F3C05"/>
    <w:rsid w:val="000F3EA4"/>
    <w:rsid w:val="000F4F9E"/>
    <w:rsid w:val="000F6D22"/>
    <w:rsid w:val="001016AC"/>
    <w:rsid w:val="00103187"/>
    <w:rsid w:val="00105AD8"/>
    <w:rsid w:val="00105CDD"/>
    <w:rsid w:val="00106684"/>
    <w:rsid w:val="00106D82"/>
    <w:rsid w:val="00106EDE"/>
    <w:rsid w:val="001072B4"/>
    <w:rsid w:val="00107A7E"/>
    <w:rsid w:val="001119D7"/>
    <w:rsid w:val="00111EBE"/>
    <w:rsid w:val="001128D3"/>
    <w:rsid w:val="001153B9"/>
    <w:rsid w:val="00115E1A"/>
    <w:rsid w:val="001163FF"/>
    <w:rsid w:val="001206F6"/>
    <w:rsid w:val="00122813"/>
    <w:rsid w:val="00127495"/>
    <w:rsid w:val="00127B2D"/>
    <w:rsid w:val="00130A0A"/>
    <w:rsid w:val="00131083"/>
    <w:rsid w:val="00131ACC"/>
    <w:rsid w:val="001326C2"/>
    <w:rsid w:val="00133426"/>
    <w:rsid w:val="00134C1E"/>
    <w:rsid w:val="00135D24"/>
    <w:rsid w:val="00136EEA"/>
    <w:rsid w:val="001371AE"/>
    <w:rsid w:val="001430C0"/>
    <w:rsid w:val="001448A0"/>
    <w:rsid w:val="00144BBE"/>
    <w:rsid w:val="00146A23"/>
    <w:rsid w:val="0014725C"/>
    <w:rsid w:val="00147402"/>
    <w:rsid w:val="00153A56"/>
    <w:rsid w:val="00153A80"/>
    <w:rsid w:val="001601C2"/>
    <w:rsid w:val="00160837"/>
    <w:rsid w:val="00162D1D"/>
    <w:rsid w:val="00163C18"/>
    <w:rsid w:val="0017009B"/>
    <w:rsid w:val="0017156F"/>
    <w:rsid w:val="00171984"/>
    <w:rsid w:val="00173F21"/>
    <w:rsid w:val="00174C62"/>
    <w:rsid w:val="00175059"/>
    <w:rsid w:val="001767F7"/>
    <w:rsid w:val="001811C4"/>
    <w:rsid w:val="00182536"/>
    <w:rsid w:val="00184D25"/>
    <w:rsid w:val="00185298"/>
    <w:rsid w:val="001866D4"/>
    <w:rsid w:val="00186B5E"/>
    <w:rsid w:val="001879D4"/>
    <w:rsid w:val="00187B51"/>
    <w:rsid w:val="001918C9"/>
    <w:rsid w:val="00191943"/>
    <w:rsid w:val="00194246"/>
    <w:rsid w:val="001947BA"/>
    <w:rsid w:val="00195462"/>
    <w:rsid w:val="00195618"/>
    <w:rsid w:val="00196252"/>
    <w:rsid w:val="00196961"/>
    <w:rsid w:val="001A32BC"/>
    <w:rsid w:val="001A3519"/>
    <w:rsid w:val="001A3CD7"/>
    <w:rsid w:val="001A5DA5"/>
    <w:rsid w:val="001A5F7E"/>
    <w:rsid w:val="001A6399"/>
    <w:rsid w:val="001A6695"/>
    <w:rsid w:val="001A6BD6"/>
    <w:rsid w:val="001B17A5"/>
    <w:rsid w:val="001B1C4C"/>
    <w:rsid w:val="001B39E1"/>
    <w:rsid w:val="001B5C5B"/>
    <w:rsid w:val="001B6380"/>
    <w:rsid w:val="001B68F0"/>
    <w:rsid w:val="001B7079"/>
    <w:rsid w:val="001B72F6"/>
    <w:rsid w:val="001B7F75"/>
    <w:rsid w:val="001C234E"/>
    <w:rsid w:val="001C2E0E"/>
    <w:rsid w:val="001C439A"/>
    <w:rsid w:val="001C457D"/>
    <w:rsid w:val="001C461D"/>
    <w:rsid w:val="001C5294"/>
    <w:rsid w:val="001C5581"/>
    <w:rsid w:val="001C63F7"/>
    <w:rsid w:val="001C6C47"/>
    <w:rsid w:val="001D00AF"/>
    <w:rsid w:val="001D0725"/>
    <w:rsid w:val="001D15A2"/>
    <w:rsid w:val="001D2A34"/>
    <w:rsid w:val="001D2BCD"/>
    <w:rsid w:val="001D37FA"/>
    <w:rsid w:val="001D40B0"/>
    <w:rsid w:val="001D6507"/>
    <w:rsid w:val="001D6F21"/>
    <w:rsid w:val="001D778B"/>
    <w:rsid w:val="001D7AB4"/>
    <w:rsid w:val="001E0470"/>
    <w:rsid w:val="001E0510"/>
    <w:rsid w:val="001E254E"/>
    <w:rsid w:val="001E3612"/>
    <w:rsid w:val="001E3A8E"/>
    <w:rsid w:val="001E3EBD"/>
    <w:rsid w:val="001E704F"/>
    <w:rsid w:val="001E7662"/>
    <w:rsid w:val="001F223A"/>
    <w:rsid w:val="001F30E4"/>
    <w:rsid w:val="001F515C"/>
    <w:rsid w:val="001F54EA"/>
    <w:rsid w:val="001F57AB"/>
    <w:rsid w:val="001F5B86"/>
    <w:rsid w:val="001F6AF4"/>
    <w:rsid w:val="001F76F7"/>
    <w:rsid w:val="001F7FBE"/>
    <w:rsid w:val="002042F5"/>
    <w:rsid w:val="00206BDF"/>
    <w:rsid w:val="00210972"/>
    <w:rsid w:val="00210B04"/>
    <w:rsid w:val="00210DB5"/>
    <w:rsid w:val="002135F4"/>
    <w:rsid w:val="00214C32"/>
    <w:rsid w:val="00221605"/>
    <w:rsid w:val="0022241A"/>
    <w:rsid w:val="00225E83"/>
    <w:rsid w:val="002269DF"/>
    <w:rsid w:val="00230E34"/>
    <w:rsid w:val="00231254"/>
    <w:rsid w:val="00232352"/>
    <w:rsid w:val="00232404"/>
    <w:rsid w:val="00233C9B"/>
    <w:rsid w:val="00236649"/>
    <w:rsid w:val="0023684F"/>
    <w:rsid w:val="002371D0"/>
    <w:rsid w:val="00242DA8"/>
    <w:rsid w:val="00245CBB"/>
    <w:rsid w:val="00247E6A"/>
    <w:rsid w:val="00250E11"/>
    <w:rsid w:val="00251FA8"/>
    <w:rsid w:val="0025701B"/>
    <w:rsid w:val="00262FC4"/>
    <w:rsid w:val="00263019"/>
    <w:rsid w:val="00263199"/>
    <w:rsid w:val="0026444E"/>
    <w:rsid w:val="0026549E"/>
    <w:rsid w:val="002657BB"/>
    <w:rsid w:val="00266C1A"/>
    <w:rsid w:val="0027131E"/>
    <w:rsid w:val="00271D79"/>
    <w:rsid w:val="00271F09"/>
    <w:rsid w:val="002736F2"/>
    <w:rsid w:val="00273B2B"/>
    <w:rsid w:val="00273C71"/>
    <w:rsid w:val="00275BAF"/>
    <w:rsid w:val="00282876"/>
    <w:rsid w:val="00282CE4"/>
    <w:rsid w:val="00283248"/>
    <w:rsid w:val="002852DC"/>
    <w:rsid w:val="002852F3"/>
    <w:rsid w:val="00286A14"/>
    <w:rsid w:val="00287D22"/>
    <w:rsid w:val="00291014"/>
    <w:rsid w:val="0029130F"/>
    <w:rsid w:val="0029144F"/>
    <w:rsid w:val="002915AE"/>
    <w:rsid w:val="0029392A"/>
    <w:rsid w:val="00295EF6"/>
    <w:rsid w:val="00296997"/>
    <w:rsid w:val="002A0109"/>
    <w:rsid w:val="002A1013"/>
    <w:rsid w:val="002A1FF0"/>
    <w:rsid w:val="002A2641"/>
    <w:rsid w:val="002A281D"/>
    <w:rsid w:val="002A57CE"/>
    <w:rsid w:val="002A66C9"/>
    <w:rsid w:val="002A6792"/>
    <w:rsid w:val="002A67B0"/>
    <w:rsid w:val="002A6FD7"/>
    <w:rsid w:val="002B0B88"/>
    <w:rsid w:val="002B2518"/>
    <w:rsid w:val="002B3E30"/>
    <w:rsid w:val="002B5865"/>
    <w:rsid w:val="002B73A2"/>
    <w:rsid w:val="002B7825"/>
    <w:rsid w:val="002B7BF8"/>
    <w:rsid w:val="002B7D5F"/>
    <w:rsid w:val="002C1C04"/>
    <w:rsid w:val="002C2AE0"/>
    <w:rsid w:val="002C65D9"/>
    <w:rsid w:val="002C6F18"/>
    <w:rsid w:val="002C769B"/>
    <w:rsid w:val="002C7D2F"/>
    <w:rsid w:val="002D14F3"/>
    <w:rsid w:val="002D2143"/>
    <w:rsid w:val="002D2834"/>
    <w:rsid w:val="002D35CE"/>
    <w:rsid w:val="002D6957"/>
    <w:rsid w:val="002D6BFE"/>
    <w:rsid w:val="002D762F"/>
    <w:rsid w:val="002D7A63"/>
    <w:rsid w:val="002E23FE"/>
    <w:rsid w:val="002E2AFB"/>
    <w:rsid w:val="002E47E9"/>
    <w:rsid w:val="002E5D6A"/>
    <w:rsid w:val="002E691C"/>
    <w:rsid w:val="002E6D37"/>
    <w:rsid w:val="002E75F9"/>
    <w:rsid w:val="002F00DC"/>
    <w:rsid w:val="002F09E7"/>
    <w:rsid w:val="002F272A"/>
    <w:rsid w:val="002F41B9"/>
    <w:rsid w:val="0030214F"/>
    <w:rsid w:val="00302544"/>
    <w:rsid w:val="00303AF6"/>
    <w:rsid w:val="00303E51"/>
    <w:rsid w:val="00303E6D"/>
    <w:rsid w:val="003042FE"/>
    <w:rsid w:val="003124D8"/>
    <w:rsid w:val="0031472B"/>
    <w:rsid w:val="00315112"/>
    <w:rsid w:val="00316637"/>
    <w:rsid w:val="00317D21"/>
    <w:rsid w:val="003216C7"/>
    <w:rsid w:val="0032247D"/>
    <w:rsid w:val="003231F4"/>
    <w:rsid w:val="00326351"/>
    <w:rsid w:val="00327AC2"/>
    <w:rsid w:val="003300E5"/>
    <w:rsid w:val="00331542"/>
    <w:rsid w:val="00332CF2"/>
    <w:rsid w:val="00333897"/>
    <w:rsid w:val="00333E32"/>
    <w:rsid w:val="00337780"/>
    <w:rsid w:val="0033795D"/>
    <w:rsid w:val="0034223E"/>
    <w:rsid w:val="00347489"/>
    <w:rsid w:val="003476EA"/>
    <w:rsid w:val="00347776"/>
    <w:rsid w:val="00347ADD"/>
    <w:rsid w:val="00350405"/>
    <w:rsid w:val="00351EEB"/>
    <w:rsid w:val="003524E6"/>
    <w:rsid w:val="00353023"/>
    <w:rsid w:val="00355F27"/>
    <w:rsid w:val="003605D7"/>
    <w:rsid w:val="00361A16"/>
    <w:rsid w:val="003628A8"/>
    <w:rsid w:val="003652E7"/>
    <w:rsid w:val="00365397"/>
    <w:rsid w:val="00365979"/>
    <w:rsid w:val="00366C8C"/>
    <w:rsid w:val="003678A1"/>
    <w:rsid w:val="003701E2"/>
    <w:rsid w:val="003708E8"/>
    <w:rsid w:val="00370E8F"/>
    <w:rsid w:val="00372873"/>
    <w:rsid w:val="00374FE1"/>
    <w:rsid w:val="003757DA"/>
    <w:rsid w:val="00375E02"/>
    <w:rsid w:val="00380292"/>
    <w:rsid w:val="003846A5"/>
    <w:rsid w:val="003867C9"/>
    <w:rsid w:val="00391C8D"/>
    <w:rsid w:val="00392563"/>
    <w:rsid w:val="00392F64"/>
    <w:rsid w:val="00395120"/>
    <w:rsid w:val="0039512D"/>
    <w:rsid w:val="003A2B78"/>
    <w:rsid w:val="003A398E"/>
    <w:rsid w:val="003A41A3"/>
    <w:rsid w:val="003A4597"/>
    <w:rsid w:val="003A5C84"/>
    <w:rsid w:val="003A73FE"/>
    <w:rsid w:val="003A74D6"/>
    <w:rsid w:val="003A7B7F"/>
    <w:rsid w:val="003B041F"/>
    <w:rsid w:val="003B26CE"/>
    <w:rsid w:val="003B3915"/>
    <w:rsid w:val="003B426F"/>
    <w:rsid w:val="003B42E3"/>
    <w:rsid w:val="003B5A6D"/>
    <w:rsid w:val="003C1DA6"/>
    <w:rsid w:val="003C35CC"/>
    <w:rsid w:val="003C3A3F"/>
    <w:rsid w:val="003C3AFE"/>
    <w:rsid w:val="003C4D84"/>
    <w:rsid w:val="003C6669"/>
    <w:rsid w:val="003C6ACD"/>
    <w:rsid w:val="003D05C2"/>
    <w:rsid w:val="003D0F1A"/>
    <w:rsid w:val="003D117F"/>
    <w:rsid w:val="003D1531"/>
    <w:rsid w:val="003D1A0B"/>
    <w:rsid w:val="003D41E2"/>
    <w:rsid w:val="003D4282"/>
    <w:rsid w:val="003D4587"/>
    <w:rsid w:val="003D7332"/>
    <w:rsid w:val="003E0802"/>
    <w:rsid w:val="003E2B22"/>
    <w:rsid w:val="003E7F8F"/>
    <w:rsid w:val="003F101F"/>
    <w:rsid w:val="003F1EB0"/>
    <w:rsid w:val="003F487A"/>
    <w:rsid w:val="003F6AD2"/>
    <w:rsid w:val="003F70E3"/>
    <w:rsid w:val="003F7C6F"/>
    <w:rsid w:val="00401EB9"/>
    <w:rsid w:val="004028AD"/>
    <w:rsid w:val="00402E13"/>
    <w:rsid w:val="00402E8A"/>
    <w:rsid w:val="0040365D"/>
    <w:rsid w:val="004054DE"/>
    <w:rsid w:val="00405F06"/>
    <w:rsid w:val="00406098"/>
    <w:rsid w:val="00406F9D"/>
    <w:rsid w:val="00407CBF"/>
    <w:rsid w:val="00410F51"/>
    <w:rsid w:val="004147E2"/>
    <w:rsid w:val="00414EA7"/>
    <w:rsid w:val="004155FD"/>
    <w:rsid w:val="00416036"/>
    <w:rsid w:val="00416567"/>
    <w:rsid w:val="00421928"/>
    <w:rsid w:val="00423F01"/>
    <w:rsid w:val="00426604"/>
    <w:rsid w:val="0043177B"/>
    <w:rsid w:val="00431DA9"/>
    <w:rsid w:val="00432571"/>
    <w:rsid w:val="00433CA7"/>
    <w:rsid w:val="004352E6"/>
    <w:rsid w:val="00437AD2"/>
    <w:rsid w:val="00441F5C"/>
    <w:rsid w:val="004449A6"/>
    <w:rsid w:val="004449FF"/>
    <w:rsid w:val="00444C73"/>
    <w:rsid w:val="004455AC"/>
    <w:rsid w:val="00445DE6"/>
    <w:rsid w:val="00445DEE"/>
    <w:rsid w:val="00446898"/>
    <w:rsid w:val="00446A93"/>
    <w:rsid w:val="00447EED"/>
    <w:rsid w:val="00450606"/>
    <w:rsid w:val="00450DF1"/>
    <w:rsid w:val="004525CE"/>
    <w:rsid w:val="00453A9D"/>
    <w:rsid w:val="00454F88"/>
    <w:rsid w:val="00456167"/>
    <w:rsid w:val="00456AAE"/>
    <w:rsid w:val="00456DCE"/>
    <w:rsid w:val="00456F34"/>
    <w:rsid w:val="00457120"/>
    <w:rsid w:val="004618BC"/>
    <w:rsid w:val="004619E4"/>
    <w:rsid w:val="00463D40"/>
    <w:rsid w:val="00464323"/>
    <w:rsid w:val="00465B56"/>
    <w:rsid w:val="004677E4"/>
    <w:rsid w:val="0047003C"/>
    <w:rsid w:val="0047268F"/>
    <w:rsid w:val="004741C9"/>
    <w:rsid w:val="00474478"/>
    <w:rsid w:val="00475DC5"/>
    <w:rsid w:val="0048008F"/>
    <w:rsid w:val="00480124"/>
    <w:rsid w:val="00481801"/>
    <w:rsid w:val="00481843"/>
    <w:rsid w:val="004819B7"/>
    <w:rsid w:val="00485111"/>
    <w:rsid w:val="0048578B"/>
    <w:rsid w:val="0048645F"/>
    <w:rsid w:val="0049051F"/>
    <w:rsid w:val="0049055E"/>
    <w:rsid w:val="00490F0F"/>
    <w:rsid w:val="00490FE8"/>
    <w:rsid w:val="00492211"/>
    <w:rsid w:val="00492363"/>
    <w:rsid w:val="0049403F"/>
    <w:rsid w:val="00494559"/>
    <w:rsid w:val="0049616F"/>
    <w:rsid w:val="004A02E6"/>
    <w:rsid w:val="004A0DE3"/>
    <w:rsid w:val="004A3B45"/>
    <w:rsid w:val="004A5AC9"/>
    <w:rsid w:val="004A6039"/>
    <w:rsid w:val="004A6657"/>
    <w:rsid w:val="004A7482"/>
    <w:rsid w:val="004B06C2"/>
    <w:rsid w:val="004B1E94"/>
    <w:rsid w:val="004B2107"/>
    <w:rsid w:val="004B2995"/>
    <w:rsid w:val="004B2CF2"/>
    <w:rsid w:val="004B35DB"/>
    <w:rsid w:val="004B3652"/>
    <w:rsid w:val="004C0914"/>
    <w:rsid w:val="004C2859"/>
    <w:rsid w:val="004C34FB"/>
    <w:rsid w:val="004C3FAD"/>
    <w:rsid w:val="004C6175"/>
    <w:rsid w:val="004C7438"/>
    <w:rsid w:val="004D16BB"/>
    <w:rsid w:val="004D230F"/>
    <w:rsid w:val="004D28E8"/>
    <w:rsid w:val="004D45CD"/>
    <w:rsid w:val="004D659F"/>
    <w:rsid w:val="004D7AEE"/>
    <w:rsid w:val="004E088C"/>
    <w:rsid w:val="004E0C90"/>
    <w:rsid w:val="004F084A"/>
    <w:rsid w:val="004F12F3"/>
    <w:rsid w:val="004F17D7"/>
    <w:rsid w:val="004F2154"/>
    <w:rsid w:val="004F26FE"/>
    <w:rsid w:val="004F37BE"/>
    <w:rsid w:val="004F40A4"/>
    <w:rsid w:val="004F66B0"/>
    <w:rsid w:val="004F72BB"/>
    <w:rsid w:val="004F7547"/>
    <w:rsid w:val="00502EB0"/>
    <w:rsid w:val="00510C86"/>
    <w:rsid w:val="00511497"/>
    <w:rsid w:val="00513446"/>
    <w:rsid w:val="005166CD"/>
    <w:rsid w:val="005207FF"/>
    <w:rsid w:val="005232DD"/>
    <w:rsid w:val="00523ADE"/>
    <w:rsid w:val="00527B90"/>
    <w:rsid w:val="00527D2B"/>
    <w:rsid w:val="00530A93"/>
    <w:rsid w:val="005313FF"/>
    <w:rsid w:val="00533FBE"/>
    <w:rsid w:val="00534390"/>
    <w:rsid w:val="00535615"/>
    <w:rsid w:val="0053672C"/>
    <w:rsid w:val="005376C4"/>
    <w:rsid w:val="0054048C"/>
    <w:rsid w:val="00540B9C"/>
    <w:rsid w:val="00541090"/>
    <w:rsid w:val="00542C74"/>
    <w:rsid w:val="00542DBB"/>
    <w:rsid w:val="00543671"/>
    <w:rsid w:val="005442FB"/>
    <w:rsid w:val="00544941"/>
    <w:rsid w:val="00546772"/>
    <w:rsid w:val="005518DF"/>
    <w:rsid w:val="00551FCE"/>
    <w:rsid w:val="005521CD"/>
    <w:rsid w:val="00552CC9"/>
    <w:rsid w:val="00553B6C"/>
    <w:rsid w:val="00554B58"/>
    <w:rsid w:val="005556C2"/>
    <w:rsid w:val="00555E3B"/>
    <w:rsid w:val="00556D74"/>
    <w:rsid w:val="005571D1"/>
    <w:rsid w:val="00557B13"/>
    <w:rsid w:val="0056096A"/>
    <w:rsid w:val="005648B3"/>
    <w:rsid w:val="00570151"/>
    <w:rsid w:val="00570695"/>
    <w:rsid w:val="00572964"/>
    <w:rsid w:val="00574C04"/>
    <w:rsid w:val="00574C93"/>
    <w:rsid w:val="00575339"/>
    <w:rsid w:val="005753BE"/>
    <w:rsid w:val="0057602C"/>
    <w:rsid w:val="00580DEE"/>
    <w:rsid w:val="00583A08"/>
    <w:rsid w:val="00585D2C"/>
    <w:rsid w:val="00592D0F"/>
    <w:rsid w:val="00593703"/>
    <w:rsid w:val="00593947"/>
    <w:rsid w:val="00594093"/>
    <w:rsid w:val="005947A0"/>
    <w:rsid w:val="00596E6B"/>
    <w:rsid w:val="005A19F0"/>
    <w:rsid w:val="005A23B4"/>
    <w:rsid w:val="005A483A"/>
    <w:rsid w:val="005A71C4"/>
    <w:rsid w:val="005B0006"/>
    <w:rsid w:val="005B11BE"/>
    <w:rsid w:val="005B3604"/>
    <w:rsid w:val="005B65AF"/>
    <w:rsid w:val="005B7876"/>
    <w:rsid w:val="005C070E"/>
    <w:rsid w:val="005C1703"/>
    <w:rsid w:val="005C38C4"/>
    <w:rsid w:val="005C651A"/>
    <w:rsid w:val="005C681E"/>
    <w:rsid w:val="005D37A7"/>
    <w:rsid w:val="005D3A76"/>
    <w:rsid w:val="005D4D06"/>
    <w:rsid w:val="005D512F"/>
    <w:rsid w:val="005D5688"/>
    <w:rsid w:val="005D57D2"/>
    <w:rsid w:val="005D65FD"/>
    <w:rsid w:val="005D73B5"/>
    <w:rsid w:val="005E265C"/>
    <w:rsid w:val="005E3EC3"/>
    <w:rsid w:val="005E5735"/>
    <w:rsid w:val="005F1804"/>
    <w:rsid w:val="005F215F"/>
    <w:rsid w:val="005F21B5"/>
    <w:rsid w:val="005F395D"/>
    <w:rsid w:val="005F5651"/>
    <w:rsid w:val="005F610F"/>
    <w:rsid w:val="005F6E6C"/>
    <w:rsid w:val="005F7BFD"/>
    <w:rsid w:val="00602C58"/>
    <w:rsid w:val="00602F49"/>
    <w:rsid w:val="006073A1"/>
    <w:rsid w:val="006074E1"/>
    <w:rsid w:val="00607A4D"/>
    <w:rsid w:val="0061314A"/>
    <w:rsid w:val="0061322D"/>
    <w:rsid w:val="0061365F"/>
    <w:rsid w:val="00616CBF"/>
    <w:rsid w:val="00617C2E"/>
    <w:rsid w:val="00620101"/>
    <w:rsid w:val="0062027A"/>
    <w:rsid w:val="00622D0D"/>
    <w:rsid w:val="0062361B"/>
    <w:rsid w:val="006252FE"/>
    <w:rsid w:val="006309B9"/>
    <w:rsid w:val="00631BBF"/>
    <w:rsid w:val="006327E1"/>
    <w:rsid w:val="00632DBD"/>
    <w:rsid w:val="00633817"/>
    <w:rsid w:val="00634428"/>
    <w:rsid w:val="00634F58"/>
    <w:rsid w:val="00637E6A"/>
    <w:rsid w:val="00640E43"/>
    <w:rsid w:val="00645C69"/>
    <w:rsid w:val="006508D8"/>
    <w:rsid w:val="0065147F"/>
    <w:rsid w:val="006523BF"/>
    <w:rsid w:val="006528BA"/>
    <w:rsid w:val="0065340B"/>
    <w:rsid w:val="00653652"/>
    <w:rsid w:val="00655728"/>
    <w:rsid w:val="00655B52"/>
    <w:rsid w:val="00657B86"/>
    <w:rsid w:val="0066141B"/>
    <w:rsid w:val="00664E24"/>
    <w:rsid w:val="00665063"/>
    <w:rsid w:val="006658B7"/>
    <w:rsid w:val="006665EE"/>
    <w:rsid w:val="0066735F"/>
    <w:rsid w:val="00670488"/>
    <w:rsid w:val="006705D6"/>
    <w:rsid w:val="006721AD"/>
    <w:rsid w:val="00673DA8"/>
    <w:rsid w:val="00674013"/>
    <w:rsid w:val="00681309"/>
    <w:rsid w:val="00683251"/>
    <w:rsid w:val="00684B17"/>
    <w:rsid w:val="00684FD8"/>
    <w:rsid w:val="006855E5"/>
    <w:rsid w:val="00692C53"/>
    <w:rsid w:val="00693474"/>
    <w:rsid w:val="00694A4A"/>
    <w:rsid w:val="00694ED5"/>
    <w:rsid w:val="006972D9"/>
    <w:rsid w:val="006A0538"/>
    <w:rsid w:val="006A1860"/>
    <w:rsid w:val="006A1D1A"/>
    <w:rsid w:val="006A232B"/>
    <w:rsid w:val="006A2AB4"/>
    <w:rsid w:val="006A3A9B"/>
    <w:rsid w:val="006A3B3B"/>
    <w:rsid w:val="006A40FA"/>
    <w:rsid w:val="006A4F66"/>
    <w:rsid w:val="006A5511"/>
    <w:rsid w:val="006A5E4A"/>
    <w:rsid w:val="006A7034"/>
    <w:rsid w:val="006B1B6E"/>
    <w:rsid w:val="006B4A67"/>
    <w:rsid w:val="006B5735"/>
    <w:rsid w:val="006B5CC0"/>
    <w:rsid w:val="006B72E1"/>
    <w:rsid w:val="006C0D80"/>
    <w:rsid w:val="006C1A79"/>
    <w:rsid w:val="006C4186"/>
    <w:rsid w:val="006D1569"/>
    <w:rsid w:val="006D288D"/>
    <w:rsid w:val="006D374F"/>
    <w:rsid w:val="006D3DC9"/>
    <w:rsid w:val="006D489B"/>
    <w:rsid w:val="006D5853"/>
    <w:rsid w:val="006D5A67"/>
    <w:rsid w:val="006D5E84"/>
    <w:rsid w:val="006D6017"/>
    <w:rsid w:val="006D663C"/>
    <w:rsid w:val="006E2E47"/>
    <w:rsid w:val="006E3BEF"/>
    <w:rsid w:val="006E5582"/>
    <w:rsid w:val="006E682C"/>
    <w:rsid w:val="006E6855"/>
    <w:rsid w:val="006E68C0"/>
    <w:rsid w:val="006E7AA2"/>
    <w:rsid w:val="006F0DB3"/>
    <w:rsid w:val="006F1019"/>
    <w:rsid w:val="006F32B6"/>
    <w:rsid w:val="006F348E"/>
    <w:rsid w:val="006F4CE1"/>
    <w:rsid w:val="006F601B"/>
    <w:rsid w:val="006F702D"/>
    <w:rsid w:val="006F70D2"/>
    <w:rsid w:val="006F71E6"/>
    <w:rsid w:val="006F73CA"/>
    <w:rsid w:val="00701C30"/>
    <w:rsid w:val="00702ABD"/>
    <w:rsid w:val="00703130"/>
    <w:rsid w:val="00703180"/>
    <w:rsid w:val="0070423E"/>
    <w:rsid w:val="00704E91"/>
    <w:rsid w:val="00705528"/>
    <w:rsid w:val="0070722C"/>
    <w:rsid w:val="00707260"/>
    <w:rsid w:val="00707DCD"/>
    <w:rsid w:val="0071146D"/>
    <w:rsid w:val="00711A76"/>
    <w:rsid w:val="00711C87"/>
    <w:rsid w:val="00713BF1"/>
    <w:rsid w:val="0071458E"/>
    <w:rsid w:val="00714E00"/>
    <w:rsid w:val="0072158C"/>
    <w:rsid w:val="00723495"/>
    <w:rsid w:val="00725D0C"/>
    <w:rsid w:val="00726B97"/>
    <w:rsid w:val="00727023"/>
    <w:rsid w:val="007270F2"/>
    <w:rsid w:val="00730CFA"/>
    <w:rsid w:val="0073200E"/>
    <w:rsid w:val="00733E05"/>
    <w:rsid w:val="00733E2F"/>
    <w:rsid w:val="00735104"/>
    <w:rsid w:val="00735694"/>
    <w:rsid w:val="00735722"/>
    <w:rsid w:val="00735C03"/>
    <w:rsid w:val="00736216"/>
    <w:rsid w:val="007362E7"/>
    <w:rsid w:val="00736D4B"/>
    <w:rsid w:val="00740E93"/>
    <w:rsid w:val="00742BC9"/>
    <w:rsid w:val="00743CC3"/>
    <w:rsid w:val="0075110E"/>
    <w:rsid w:val="00751714"/>
    <w:rsid w:val="00751732"/>
    <w:rsid w:val="00760177"/>
    <w:rsid w:val="00761B82"/>
    <w:rsid w:val="00763CC2"/>
    <w:rsid w:val="00764D76"/>
    <w:rsid w:val="00764DCD"/>
    <w:rsid w:val="0076638B"/>
    <w:rsid w:val="007667C9"/>
    <w:rsid w:val="0076690A"/>
    <w:rsid w:val="00770172"/>
    <w:rsid w:val="007713A4"/>
    <w:rsid w:val="007729E2"/>
    <w:rsid w:val="007748D0"/>
    <w:rsid w:val="00775880"/>
    <w:rsid w:val="00775897"/>
    <w:rsid w:val="00775DFA"/>
    <w:rsid w:val="0078200C"/>
    <w:rsid w:val="007874A3"/>
    <w:rsid w:val="00790ECB"/>
    <w:rsid w:val="00792FD5"/>
    <w:rsid w:val="0079303D"/>
    <w:rsid w:val="00795E87"/>
    <w:rsid w:val="007971A2"/>
    <w:rsid w:val="00797270"/>
    <w:rsid w:val="007A004F"/>
    <w:rsid w:val="007A0677"/>
    <w:rsid w:val="007A09AA"/>
    <w:rsid w:val="007A123B"/>
    <w:rsid w:val="007A20DD"/>
    <w:rsid w:val="007A30CA"/>
    <w:rsid w:val="007A51FF"/>
    <w:rsid w:val="007A67BC"/>
    <w:rsid w:val="007B0721"/>
    <w:rsid w:val="007B08DF"/>
    <w:rsid w:val="007B0C3A"/>
    <w:rsid w:val="007B1921"/>
    <w:rsid w:val="007B23C4"/>
    <w:rsid w:val="007B6DCA"/>
    <w:rsid w:val="007C37AD"/>
    <w:rsid w:val="007C6C22"/>
    <w:rsid w:val="007C74D3"/>
    <w:rsid w:val="007D15AB"/>
    <w:rsid w:val="007D2418"/>
    <w:rsid w:val="007D38DA"/>
    <w:rsid w:val="007D5304"/>
    <w:rsid w:val="007D54BB"/>
    <w:rsid w:val="007D5FC7"/>
    <w:rsid w:val="007D6A13"/>
    <w:rsid w:val="007D76AB"/>
    <w:rsid w:val="007D7F8B"/>
    <w:rsid w:val="007E271D"/>
    <w:rsid w:val="007E2BA7"/>
    <w:rsid w:val="007E2C84"/>
    <w:rsid w:val="007E39C6"/>
    <w:rsid w:val="007E712B"/>
    <w:rsid w:val="007F0042"/>
    <w:rsid w:val="007F05A5"/>
    <w:rsid w:val="007F276B"/>
    <w:rsid w:val="007F34E1"/>
    <w:rsid w:val="007F4D3E"/>
    <w:rsid w:val="007F517B"/>
    <w:rsid w:val="007F65CC"/>
    <w:rsid w:val="007F7C2B"/>
    <w:rsid w:val="00801B81"/>
    <w:rsid w:val="0080207A"/>
    <w:rsid w:val="00802581"/>
    <w:rsid w:val="008026AE"/>
    <w:rsid w:val="00805C3D"/>
    <w:rsid w:val="00806C19"/>
    <w:rsid w:val="008073F5"/>
    <w:rsid w:val="008141A8"/>
    <w:rsid w:val="00815B5C"/>
    <w:rsid w:val="008166A3"/>
    <w:rsid w:val="0081670A"/>
    <w:rsid w:val="008177F4"/>
    <w:rsid w:val="00817D18"/>
    <w:rsid w:val="008237B4"/>
    <w:rsid w:val="00825808"/>
    <w:rsid w:val="00827348"/>
    <w:rsid w:val="0083018F"/>
    <w:rsid w:val="008301C7"/>
    <w:rsid w:val="00831363"/>
    <w:rsid w:val="00831CA2"/>
    <w:rsid w:val="008326F9"/>
    <w:rsid w:val="00834802"/>
    <w:rsid w:val="00834B43"/>
    <w:rsid w:val="00834C38"/>
    <w:rsid w:val="008400B1"/>
    <w:rsid w:val="0084356E"/>
    <w:rsid w:val="00845052"/>
    <w:rsid w:val="00846951"/>
    <w:rsid w:val="00850BD7"/>
    <w:rsid w:val="00851DE8"/>
    <w:rsid w:val="00852036"/>
    <w:rsid w:val="0085230F"/>
    <w:rsid w:val="00854172"/>
    <w:rsid w:val="008544D4"/>
    <w:rsid w:val="008557B2"/>
    <w:rsid w:val="00855AF5"/>
    <w:rsid w:val="00856E28"/>
    <w:rsid w:val="0086290D"/>
    <w:rsid w:val="008631CF"/>
    <w:rsid w:val="00863321"/>
    <w:rsid w:val="00863CAD"/>
    <w:rsid w:val="0086652B"/>
    <w:rsid w:val="00872DDA"/>
    <w:rsid w:val="00875646"/>
    <w:rsid w:val="0087727D"/>
    <w:rsid w:val="00877739"/>
    <w:rsid w:val="00881B3B"/>
    <w:rsid w:val="00882E37"/>
    <w:rsid w:val="00884A4A"/>
    <w:rsid w:val="00884C4A"/>
    <w:rsid w:val="008856CF"/>
    <w:rsid w:val="008867D7"/>
    <w:rsid w:val="00886D54"/>
    <w:rsid w:val="00886E5A"/>
    <w:rsid w:val="00887427"/>
    <w:rsid w:val="00887E11"/>
    <w:rsid w:val="0089089A"/>
    <w:rsid w:val="00890F4F"/>
    <w:rsid w:val="008948E7"/>
    <w:rsid w:val="008967ED"/>
    <w:rsid w:val="008A21AC"/>
    <w:rsid w:val="008A25AD"/>
    <w:rsid w:val="008A2C99"/>
    <w:rsid w:val="008A319A"/>
    <w:rsid w:val="008A470A"/>
    <w:rsid w:val="008A50BD"/>
    <w:rsid w:val="008A517A"/>
    <w:rsid w:val="008A6992"/>
    <w:rsid w:val="008A6A66"/>
    <w:rsid w:val="008A6E4F"/>
    <w:rsid w:val="008A7797"/>
    <w:rsid w:val="008B4351"/>
    <w:rsid w:val="008B4BED"/>
    <w:rsid w:val="008B4D56"/>
    <w:rsid w:val="008B55E3"/>
    <w:rsid w:val="008C2E83"/>
    <w:rsid w:val="008C309F"/>
    <w:rsid w:val="008C3375"/>
    <w:rsid w:val="008C3B7C"/>
    <w:rsid w:val="008C7AC6"/>
    <w:rsid w:val="008C7E59"/>
    <w:rsid w:val="008D5AA5"/>
    <w:rsid w:val="008D60E0"/>
    <w:rsid w:val="008D6E80"/>
    <w:rsid w:val="008D7FB1"/>
    <w:rsid w:val="008E196D"/>
    <w:rsid w:val="008E264A"/>
    <w:rsid w:val="008E27D4"/>
    <w:rsid w:val="008E53BD"/>
    <w:rsid w:val="008E5D67"/>
    <w:rsid w:val="008E7ADF"/>
    <w:rsid w:val="008F2C92"/>
    <w:rsid w:val="008F4554"/>
    <w:rsid w:val="008F5241"/>
    <w:rsid w:val="008F6FFD"/>
    <w:rsid w:val="008F71F7"/>
    <w:rsid w:val="009010D4"/>
    <w:rsid w:val="00901B9C"/>
    <w:rsid w:val="00902F31"/>
    <w:rsid w:val="00905225"/>
    <w:rsid w:val="00905D8E"/>
    <w:rsid w:val="009079AD"/>
    <w:rsid w:val="00907CDF"/>
    <w:rsid w:val="00910913"/>
    <w:rsid w:val="00910FC2"/>
    <w:rsid w:val="00912DB4"/>
    <w:rsid w:val="00913D63"/>
    <w:rsid w:val="00915725"/>
    <w:rsid w:val="0091603C"/>
    <w:rsid w:val="00916C00"/>
    <w:rsid w:val="00916EA7"/>
    <w:rsid w:val="00920263"/>
    <w:rsid w:val="00921CD9"/>
    <w:rsid w:val="00921F3A"/>
    <w:rsid w:val="00922DE9"/>
    <w:rsid w:val="0092313D"/>
    <w:rsid w:val="0092323B"/>
    <w:rsid w:val="0092559B"/>
    <w:rsid w:val="009260E7"/>
    <w:rsid w:val="00926254"/>
    <w:rsid w:val="009313A4"/>
    <w:rsid w:val="00934D28"/>
    <w:rsid w:val="00937524"/>
    <w:rsid w:val="00940676"/>
    <w:rsid w:val="00940943"/>
    <w:rsid w:val="00940A60"/>
    <w:rsid w:val="00940DA1"/>
    <w:rsid w:val="009411F3"/>
    <w:rsid w:val="00943D40"/>
    <w:rsid w:val="009470D5"/>
    <w:rsid w:val="00947AB0"/>
    <w:rsid w:val="00952E1D"/>
    <w:rsid w:val="00953A61"/>
    <w:rsid w:val="009543D9"/>
    <w:rsid w:val="00956301"/>
    <w:rsid w:val="009576A7"/>
    <w:rsid w:val="00957BA6"/>
    <w:rsid w:val="00960196"/>
    <w:rsid w:val="00964A6F"/>
    <w:rsid w:val="00965735"/>
    <w:rsid w:val="00965B97"/>
    <w:rsid w:val="009661DF"/>
    <w:rsid w:val="00970332"/>
    <w:rsid w:val="00970DAD"/>
    <w:rsid w:val="009716DA"/>
    <w:rsid w:val="00971CBB"/>
    <w:rsid w:val="0097435C"/>
    <w:rsid w:val="009809B7"/>
    <w:rsid w:val="00980A68"/>
    <w:rsid w:val="00981A18"/>
    <w:rsid w:val="009839F2"/>
    <w:rsid w:val="00990012"/>
    <w:rsid w:val="0099139F"/>
    <w:rsid w:val="00995858"/>
    <w:rsid w:val="00995CC6"/>
    <w:rsid w:val="00996430"/>
    <w:rsid w:val="009966E5"/>
    <w:rsid w:val="00997469"/>
    <w:rsid w:val="009A0F57"/>
    <w:rsid w:val="009A2948"/>
    <w:rsid w:val="009A3A34"/>
    <w:rsid w:val="009A4752"/>
    <w:rsid w:val="009A55D7"/>
    <w:rsid w:val="009A56A7"/>
    <w:rsid w:val="009A6AAC"/>
    <w:rsid w:val="009A72FF"/>
    <w:rsid w:val="009B07AB"/>
    <w:rsid w:val="009B0F28"/>
    <w:rsid w:val="009B3188"/>
    <w:rsid w:val="009B4F4F"/>
    <w:rsid w:val="009B544E"/>
    <w:rsid w:val="009B5CE2"/>
    <w:rsid w:val="009B62CD"/>
    <w:rsid w:val="009C4256"/>
    <w:rsid w:val="009C4CCF"/>
    <w:rsid w:val="009C7046"/>
    <w:rsid w:val="009D0413"/>
    <w:rsid w:val="009D4061"/>
    <w:rsid w:val="009D45D8"/>
    <w:rsid w:val="009D5C8A"/>
    <w:rsid w:val="009D5FE1"/>
    <w:rsid w:val="009D616D"/>
    <w:rsid w:val="009D6821"/>
    <w:rsid w:val="009D6F66"/>
    <w:rsid w:val="009D7474"/>
    <w:rsid w:val="009D796A"/>
    <w:rsid w:val="009E1C3F"/>
    <w:rsid w:val="009E2123"/>
    <w:rsid w:val="009E253C"/>
    <w:rsid w:val="009E2D25"/>
    <w:rsid w:val="009E4F52"/>
    <w:rsid w:val="009E63A2"/>
    <w:rsid w:val="009E7214"/>
    <w:rsid w:val="009F20F0"/>
    <w:rsid w:val="009F4C9E"/>
    <w:rsid w:val="009F6FDC"/>
    <w:rsid w:val="009F7703"/>
    <w:rsid w:val="00A013D6"/>
    <w:rsid w:val="00A0296F"/>
    <w:rsid w:val="00A049DE"/>
    <w:rsid w:val="00A04A11"/>
    <w:rsid w:val="00A07FE1"/>
    <w:rsid w:val="00A103A4"/>
    <w:rsid w:val="00A10800"/>
    <w:rsid w:val="00A10B4A"/>
    <w:rsid w:val="00A121E4"/>
    <w:rsid w:val="00A135E8"/>
    <w:rsid w:val="00A17AB3"/>
    <w:rsid w:val="00A20C53"/>
    <w:rsid w:val="00A21EB8"/>
    <w:rsid w:val="00A22F1D"/>
    <w:rsid w:val="00A23680"/>
    <w:rsid w:val="00A25849"/>
    <w:rsid w:val="00A25E35"/>
    <w:rsid w:val="00A317C2"/>
    <w:rsid w:val="00A32803"/>
    <w:rsid w:val="00A33A8E"/>
    <w:rsid w:val="00A33B6E"/>
    <w:rsid w:val="00A36970"/>
    <w:rsid w:val="00A407FE"/>
    <w:rsid w:val="00A41EF8"/>
    <w:rsid w:val="00A42D67"/>
    <w:rsid w:val="00A438FC"/>
    <w:rsid w:val="00A448FC"/>
    <w:rsid w:val="00A450E5"/>
    <w:rsid w:val="00A450F3"/>
    <w:rsid w:val="00A46E6C"/>
    <w:rsid w:val="00A50297"/>
    <w:rsid w:val="00A51ADB"/>
    <w:rsid w:val="00A531C9"/>
    <w:rsid w:val="00A56809"/>
    <w:rsid w:val="00A57ABC"/>
    <w:rsid w:val="00A62E9E"/>
    <w:rsid w:val="00A642AB"/>
    <w:rsid w:val="00A67532"/>
    <w:rsid w:val="00A67E5E"/>
    <w:rsid w:val="00A70021"/>
    <w:rsid w:val="00A75256"/>
    <w:rsid w:val="00A76AE2"/>
    <w:rsid w:val="00A77FD2"/>
    <w:rsid w:val="00A80CC3"/>
    <w:rsid w:val="00A81E33"/>
    <w:rsid w:val="00A83673"/>
    <w:rsid w:val="00A85157"/>
    <w:rsid w:val="00A85CFC"/>
    <w:rsid w:val="00A92156"/>
    <w:rsid w:val="00A93527"/>
    <w:rsid w:val="00A94183"/>
    <w:rsid w:val="00A94EAC"/>
    <w:rsid w:val="00A96E76"/>
    <w:rsid w:val="00AA0779"/>
    <w:rsid w:val="00AA2340"/>
    <w:rsid w:val="00AA2A96"/>
    <w:rsid w:val="00AA2B0F"/>
    <w:rsid w:val="00AA2BB9"/>
    <w:rsid w:val="00AA4001"/>
    <w:rsid w:val="00AB0F6E"/>
    <w:rsid w:val="00AB1D64"/>
    <w:rsid w:val="00AB22EC"/>
    <w:rsid w:val="00AB3FAC"/>
    <w:rsid w:val="00AB42D6"/>
    <w:rsid w:val="00AB43BE"/>
    <w:rsid w:val="00AB453A"/>
    <w:rsid w:val="00AB5510"/>
    <w:rsid w:val="00AB580D"/>
    <w:rsid w:val="00AB622A"/>
    <w:rsid w:val="00AB64DF"/>
    <w:rsid w:val="00AB7486"/>
    <w:rsid w:val="00AB7556"/>
    <w:rsid w:val="00AC1119"/>
    <w:rsid w:val="00AC1B8E"/>
    <w:rsid w:val="00AC20F4"/>
    <w:rsid w:val="00AC392F"/>
    <w:rsid w:val="00AC453A"/>
    <w:rsid w:val="00AC4D0E"/>
    <w:rsid w:val="00AC53A6"/>
    <w:rsid w:val="00AC6D34"/>
    <w:rsid w:val="00AD07E9"/>
    <w:rsid w:val="00AD1F57"/>
    <w:rsid w:val="00AD24D3"/>
    <w:rsid w:val="00AD3883"/>
    <w:rsid w:val="00AD5DE9"/>
    <w:rsid w:val="00AE1C7C"/>
    <w:rsid w:val="00AE216A"/>
    <w:rsid w:val="00AE2F4F"/>
    <w:rsid w:val="00AE334A"/>
    <w:rsid w:val="00AE3CAD"/>
    <w:rsid w:val="00AE43E7"/>
    <w:rsid w:val="00AE5DD0"/>
    <w:rsid w:val="00AE7567"/>
    <w:rsid w:val="00AE7954"/>
    <w:rsid w:val="00AF075F"/>
    <w:rsid w:val="00AF099B"/>
    <w:rsid w:val="00AF1F58"/>
    <w:rsid w:val="00AF2597"/>
    <w:rsid w:val="00AF490E"/>
    <w:rsid w:val="00AF5DCC"/>
    <w:rsid w:val="00AF6C3F"/>
    <w:rsid w:val="00AF71E6"/>
    <w:rsid w:val="00B0067C"/>
    <w:rsid w:val="00B012A7"/>
    <w:rsid w:val="00B03C1B"/>
    <w:rsid w:val="00B11491"/>
    <w:rsid w:val="00B115EA"/>
    <w:rsid w:val="00B11684"/>
    <w:rsid w:val="00B12717"/>
    <w:rsid w:val="00B135E5"/>
    <w:rsid w:val="00B1456A"/>
    <w:rsid w:val="00B1685A"/>
    <w:rsid w:val="00B1766F"/>
    <w:rsid w:val="00B20173"/>
    <w:rsid w:val="00B20206"/>
    <w:rsid w:val="00B207E9"/>
    <w:rsid w:val="00B20AC4"/>
    <w:rsid w:val="00B20E5D"/>
    <w:rsid w:val="00B22791"/>
    <w:rsid w:val="00B22C3A"/>
    <w:rsid w:val="00B23071"/>
    <w:rsid w:val="00B234BA"/>
    <w:rsid w:val="00B2356E"/>
    <w:rsid w:val="00B25B28"/>
    <w:rsid w:val="00B25B2D"/>
    <w:rsid w:val="00B27C88"/>
    <w:rsid w:val="00B301BE"/>
    <w:rsid w:val="00B32054"/>
    <w:rsid w:val="00B32670"/>
    <w:rsid w:val="00B32928"/>
    <w:rsid w:val="00B355E4"/>
    <w:rsid w:val="00B373C9"/>
    <w:rsid w:val="00B37594"/>
    <w:rsid w:val="00B40F5B"/>
    <w:rsid w:val="00B42C82"/>
    <w:rsid w:val="00B449B2"/>
    <w:rsid w:val="00B45E2D"/>
    <w:rsid w:val="00B462ED"/>
    <w:rsid w:val="00B477AD"/>
    <w:rsid w:val="00B516B3"/>
    <w:rsid w:val="00B51C48"/>
    <w:rsid w:val="00B53BAA"/>
    <w:rsid w:val="00B549D9"/>
    <w:rsid w:val="00B55C35"/>
    <w:rsid w:val="00B568DD"/>
    <w:rsid w:val="00B6035B"/>
    <w:rsid w:val="00B630A2"/>
    <w:rsid w:val="00B63F67"/>
    <w:rsid w:val="00B64541"/>
    <w:rsid w:val="00B65208"/>
    <w:rsid w:val="00B65F69"/>
    <w:rsid w:val="00B710F7"/>
    <w:rsid w:val="00B7131B"/>
    <w:rsid w:val="00B73564"/>
    <w:rsid w:val="00B7436C"/>
    <w:rsid w:val="00B75AD7"/>
    <w:rsid w:val="00B75EC4"/>
    <w:rsid w:val="00B808EA"/>
    <w:rsid w:val="00B819F5"/>
    <w:rsid w:val="00B82B95"/>
    <w:rsid w:val="00B84235"/>
    <w:rsid w:val="00B8548D"/>
    <w:rsid w:val="00B8564E"/>
    <w:rsid w:val="00B87ADB"/>
    <w:rsid w:val="00B87D8A"/>
    <w:rsid w:val="00B90129"/>
    <w:rsid w:val="00B9353B"/>
    <w:rsid w:val="00B93CAB"/>
    <w:rsid w:val="00B94567"/>
    <w:rsid w:val="00B95605"/>
    <w:rsid w:val="00B958D8"/>
    <w:rsid w:val="00B969A8"/>
    <w:rsid w:val="00B97373"/>
    <w:rsid w:val="00B973FC"/>
    <w:rsid w:val="00B97F44"/>
    <w:rsid w:val="00B97F46"/>
    <w:rsid w:val="00BA01A6"/>
    <w:rsid w:val="00BA0838"/>
    <w:rsid w:val="00BA46D7"/>
    <w:rsid w:val="00BA4B91"/>
    <w:rsid w:val="00BA570C"/>
    <w:rsid w:val="00BA6EAB"/>
    <w:rsid w:val="00BB0BE6"/>
    <w:rsid w:val="00BB1F6E"/>
    <w:rsid w:val="00BB2252"/>
    <w:rsid w:val="00BB2D45"/>
    <w:rsid w:val="00BB40CC"/>
    <w:rsid w:val="00BB493B"/>
    <w:rsid w:val="00BB51CC"/>
    <w:rsid w:val="00BB6A2D"/>
    <w:rsid w:val="00BC1A1F"/>
    <w:rsid w:val="00BC284A"/>
    <w:rsid w:val="00BC3D23"/>
    <w:rsid w:val="00BC56B0"/>
    <w:rsid w:val="00BD2051"/>
    <w:rsid w:val="00BD20E2"/>
    <w:rsid w:val="00BD2A37"/>
    <w:rsid w:val="00BD2A8A"/>
    <w:rsid w:val="00BD3996"/>
    <w:rsid w:val="00BD66CB"/>
    <w:rsid w:val="00BE0D33"/>
    <w:rsid w:val="00BE0DEA"/>
    <w:rsid w:val="00BE19C6"/>
    <w:rsid w:val="00BE1E7C"/>
    <w:rsid w:val="00BE3A4C"/>
    <w:rsid w:val="00BE47BD"/>
    <w:rsid w:val="00BE5C65"/>
    <w:rsid w:val="00BE5D73"/>
    <w:rsid w:val="00BE617A"/>
    <w:rsid w:val="00BF04E3"/>
    <w:rsid w:val="00BF1950"/>
    <w:rsid w:val="00BF2A3B"/>
    <w:rsid w:val="00BF2EBB"/>
    <w:rsid w:val="00BF35EB"/>
    <w:rsid w:val="00BF521C"/>
    <w:rsid w:val="00BF6AF3"/>
    <w:rsid w:val="00C00F05"/>
    <w:rsid w:val="00C01ACD"/>
    <w:rsid w:val="00C01BD7"/>
    <w:rsid w:val="00C052D6"/>
    <w:rsid w:val="00C06300"/>
    <w:rsid w:val="00C10096"/>
    <w:rsid w:val="00C1167F"/>
    <w:rsid w:val="00C1321B"/>
    <w:rsid w:val="00C1434F"/>
    <w:rsid w:val="00C16A08"/>
    <w:rsid w:val="00C217AB"/>
    <w:rsid w:val="00C21B9C"/>
    <w:rsid w:val="00C22D9D"/>
    <w:rsid w:val="00C25030"/>
    <w:rsid w:val="00C266FC"/>
    <w:rsid w:val="00C26C05"/>
    <w:rsid w:val="00C27602"/>
    <w:rsid w:val="00C31199"/>
    <w:rsid w:val="00C32A9C"/>
    <w:rsid w:val="00C333F5"/>
    <w:rsid w:val="00C354D5"/>
    <w:rsid w:val="00C3718F"/>
    <w:rsid w:val="00C441C9"/>
    <w:rsid w:val="00C45B5A"/>
    <w:rsid w:val="00C45E54"/>
    <w:rsid w:val="00C467CC"/>
    <w:rsid w:val="00C5258D"/>
    <w:rsid w:val="00C534DF"/>
    <w:rsid w:val="00C541BB"/>
    <w:rsid w:val="00C54D09"/>
    <w:rsid w:val="00C57E31"/>
    <w:rsid w:val="00C605D2"/>
    <w:rsid w:val="00C60F53"/>
    <w:rsid w:val="00C61453"/>
    <w:rsid w:val="00C63CD2"/>
    <w:rsid w:val="00C63D8F"/>
    <w:rsid w:val="00C63FB1"/>
    <w:rsid w:val="00C723D8"/>
    <w:rsid w:val="00C733C6"/>
    <w:rsid w:val="00C7413A"/>
    <w:rsid w:val="00C74D65"/>
    <w:rsid w:val="00C76F54"/>
    <w:rsid w:val="00C77815"/>
    <w:rsid w:val="00C84AC7"/>
    <w:rsid w:val="00C85DEB"/>
    <w:rsid w:val="00C86311"/>
    <w:rsid w:val="00C86594"/>
    <w:rsid w:val="00C87732"/>
    <w:rsid w:val="00C9111E"/>
    <w:rsid w:val="00C94776"/>
    <w:rsid w:val="00C9529F"/>
    <w:rsid w:val="00C96669"/>
    <w:rsid w:val="00CA0370"/>
    <w:rsid w:val="00CA0407"/>
    <w:rsid w:val="00CA23BC"/>
    <w:rsid w:val="00CA26F7"/>
    <w:rsid w:val="00CA4CDE"/>
    <w:rsid w:val="00CA5F17"/>
    <w:rsid w:val="00CA781A"/>
    <w:rsid w:val="00CB0C82"/>
    <w:rsid w:val="00CB134C"/>
    <w:rsid w:val="00CB20FC"/>
    <w:rsid w:val="00CB258F"/>
    <w:rsid w:val="00CB28B9"/>
    <w:rsid w:val="00CB314F"/>
    <w:rsid w:val="00CB3232"/>
    <w:rsid w:val="00CB3363"/>
    <w:rsid w:val="00CB36CC"/>
    <w:rsid w:val="00CB4729"/>
    <w:rsid w:val="00CB4787"/>
    <w:rsid w:val="00CB4D4D"/>
    <w:rsid w:val="00CB5335"/>
    <w:rsid w:val="00CB731C"/>
    <w:rsid w:val="00CB7D9C"/>
    <w:rsid w:val="00CC0162"/>
    <w:rsid w:val="00CC049C"/>
    <w:rsid w:val="00CC0E33"/>
    <w:rsid w:val="00CC18AB"/>
    <w:rsid w:val="00CC1E9A"/>
    <w:rsid w:val="00CC3836"/>
    <w:rsid w:val="00CC64DF"/>
    <w:rsid w:val="00CC7972"/>
    <w:rsid w:val="00CD067E"/>
    <w:rsid w:val="00CD0C37"/>
    <w:rsid w:val="00CD5B05"/>
    <w:rsid w:val="00CD6D97"/>
    <w:rsid w:val="00CD77E2"/>
    <w:rsid w:val="00CE1E9E"/>
    <w:rsid w:val="00CE450D"/>
    <w:rsid w:val="00CE545F"/>
    <w:rsid w:val="00CF0CF9"/>
    <w:rsid w:val="00CF11CC"/>
    <w:rsid w:val="00CF3FF0"/>
    <w:rsid w:val="00CF410C"/>
    <w:rsid w:val="00CF4684"/>
    <w:rsid w:val="00CF573E"/>
    <w:rsid w:val="00CF64D9"/>
    <w:rsid w:val="00D0255B"/>
    <w:rsid w:val="00D02C4C"/>
    <w:rsid w:val="00D054F3"/>
    <w:rsid w:val="00D057BC"/>
    <w:rsid w:val="00D1645C"/>
    <w:rsid w:val="00D17054"/>
    <w:rsid w:val="00D20F54"/>
    <w:rsid w:val="00D21732"/>
    <w:rsid w:val="00D23172"/>
    <w:rsid w:val="00D23DEF"/>
    <w:rsid w:val="00D2570E"/>
    <w:rsid w:val="00D27F64"/>
    <w:rsid w:val="00D32876"/>
    <w:rsid w:val="00D33767"/>
    <w:rsid w:val="00D33BF3"/>
    <w:rsid w:val="00D354FD"/>
    <w:rsid w:val="00D3550F"/>
    <w:rsid w:val="00D46CB9"/>
    <w:rsid w:val="00D472D4"/>
    <w:rsid w:val="00D5017A"/>
    <w:rsid w:val="00D51FD7"/>
    <w:rsid w:val="00D5287B"/>
    <w:rsid w:val="00D52DEF"/>
    <w:rsid w:val="00D53729"/>
    <w:rsid w:val="00D57016"/>
    <w:rsid w:val="00D60B0F"/>
    <w:rsid w:val="00D60D03"/>
    <w:rsid w:val="00D6217E"/>
    <w:rsid w:val="00D70A91"/>
    <w:rsid w:val="00D71A96"/>
    <w:rsid w:val="00D72070"/>
    <w:rsid w:val="00D7236E"/>
    <w:rsid w:val="00D7343A"/>
    <w:rsid w:val="00D73600"/>
    <w:rsid w:val="00D73B59"/>
    <w:rsid w:val="00D74686"/>
    <w:rsid w:val="00D75DF9"/>
    <w:rsid w:val="00D774C9"/>
    <w:rsid w:val="00D82AA1"/>
    <w:rsid w:val="00D8309E"/>
    <w:rsid w:val="00D83E75"/>
    <w:rsid w:val="00D86DC5"/>
    <w:rsid w:val="00D8766C"/>
    <w:rsid w:val="00D918B8"/>
    <w:rsid w:val="00D91B44"/>
    <w:rsid w:val="00D9284F"/>
    <w:rsid w:val="00D93916"/>
    <w:rsid w:val="00D93B91"/>
    <w:rsid w:val="00D944AC"/>
    <w:rsid w:val="00D95E8E"/>
    <w:rsid w:val="00D975B3"/>
    <w:rsid w:val="00DA1158"/>
    <w:rsid w:val="00DA1BD8"/>
    <w:rsid w:val="00DA274D"/>
    <w:rsid w:val="00DA29CC"/>
    <w:rsid w:val="00DA308A"/>
    <w:rsid w:val="00DA3E3A"/>
    <w:rsid w:val="00DA594E"/>
    <w:rsid w:val="00DA5955"/>
    <w:rsid w:val="00DA66A5"/>
    <w:rsid w:val="00DA74AC"/>
    <w:rsid w:val="00DA755B"/>
    <w:rsid w:val="00DB0D29"/>
    <w:rsid w:val="00DB111D"/>
    <w:rsid w:val="00DB427B"/>
    <w:rsid w:val="00DB4788"/>
    <w:rsid w:val="00DB7FC8"/>
    <w:rsid w:val="00DC38A4"/>
    <w:rsid w:val="00DC6751"/>
    <w:rsid w:val="00DD16C4"/>
    <w:rsid w:val="00DD1E9F"/>
    <w:rsid w:val="00DD5E0F"/>
    <w:rsid w:val="00DD72C3"/>
    <w:rsid w:val="00DE0C44"/>
    <w:rsid w:val="00DE11CF"/>
    <w:rsid w:val="00DE3419"/>
    <w:rsid w:val="00DE3E69"/>
    <w:rsid w:val="00DE5F43"/>
    <w:rsid w:val="00DE67A0"/>
    <w:rsid w:val="00DF6156"/>
    <w:rsid w:val="00DF6B28"/>
    <w:rsid w:val="00DF7197"/>
    <w:rsid w:val="00DF7332"/>
    <w:rsid w:val="00DF7838"/>
    <w:rsid w:val="00E01C3A"/>
    <w:rsid w:val="00E0739B"/>
    <w:rsid w:val="00E102CD"/>
    <w:rsid w:val="00E1061E"/>
    <w:rsid w:val="00E15559"/>
    <w:rsid w:val="00E16719"/>
    <w:rsid w:val="00E16739"/>
    <w:rsid w:val="00E177EE"/>
    <w:rsid w:val="00E204A9"/>
    <w:rsid w:val="00E20667"/>
    <w:rsid w:val="00E20FCB"/>
    <w:rsid w:val="00E21267"/>
    <w:rsid w:val="00E24522"/>
    <w:rsid w:val="00E24EF6"/>
    <w:rsid w:val="00E26651"/>
    <w:rsid w:val="00E310FA"/>
    <w:rsid w:val="00E321E8"/>
    <w:rsid w:val="00E32891"/>
    <w:rsid w:val="00E33BC3"/>
    <w:rsid w:val="00E33E1D"/>
    <w:rsid w:val="00E34674"/>
    <w:rsid w:val="00E35386"/>
    <w:rsid w:val="00E3624D"/>
    <w:rsid w:val="00E36D4C"/>
    <w:rsid w:val="00E40F0A"/>
    <w:rsid w:val="00E41052"/>
    <w:rsid w:val="00E41A7E"/>
    <w:rsid w:val="00E435BF"/>
    <w:rsid w:val="00E43852"/>
    <w:rsid w:val="00E44901"/>
    <w:rsid w:val="00E44985"/>
    <w:rsid w:val="00E5180D"/>
    <w:rsid w:val="00E5181F"/>
    <w:rsid w:val="00E5187B"/>
    <w:rsid w:val="00E51FCE"/>
    <w:rsid w:val="00E526B5"/>
    <w:rsid w:val="00E528F5"/>
    <w:rsid w:val="00E53D73"/>
    <w:rsid w:val="00E54F77"/>
    <w:rsid w:val="00E62662"/>
    <w:rsid w:val="00E62ADB"/>
    <w:rsid w:val="00E62B9E"/>
    <w:rsid w:val="00E62EA2"/>
    <w:rsid w:val="00E6310F"/>
    <w:rsid w:val="00E6402C"/>
    <w:rsid w:val="00E65261"/>
    <w:rsid w:val="00E6588D"/>
    <w:rsid w:val="00E65C28"/>
    <w:rsid w:val="00E6702F"/>
    <w:rsid w:val="00E71927"/>
    <w:rsid w:val="00E733B7"/>
    <w:rsid w:val="00E737C1"/>
    <w:rsid w:val="00E74C1F"/>
    <w:rsid w:val="00E74E1B"/>
    <w:rsid w:val="00E75C30"/>
    <w:rsid w:val="00E77030"/>
    <w:rsid w:val="00E820D2"/>
    <w:rsid w:val="00E82159"/>
    <w:rsid w:val="00E85307"/>
    <w:rsid w:val="00E86AD9"/>
    <w:rsid w:val="00E87FD2"/>
    <w:rsid w:val="00E90272"/>
    <w:rsid w:val="00E92426"/>
    <w:rsid w:val="00E92B64"/>
    <w:rsid w:val="00E93781"/>
    <w:rsid w:val="00E949FE"/>
    <w:rsid w:val="00E9568D"/>
    <w:rsid w:val="00EA082D"/>
    <w:rsid w:val="00EA11D3"/>
    <w:rsid w:val="00EA13CB"/>
    <w:rsid w:val="00EA3210"/>
    <w:rsid w:val="00EA53BA"/>
    <w:rsid w:val="00EA65B6"/>
    <w:rsid w:val="00EA7C7A"/>
    <w:rsid w:val="00EA7CB7"/>
    <w:rsid w:val="00EB3559"/>
    <w:rsid w:val="00EB4BBE"/>
    <w:rsid w:val="00EB718E"/>
    <w:rsid w:val="00EC06C0"/>
    <w:rsid w:val="00EC1AF8"/>
    <w:rsid w:val="00EC2484"/>
    <w:rsid w:val="00EC58B0"/>
    <w:rsid w:val="00EC6313"/>
    <w:rsid w:val="00EC63DA"/>
    <w:rsid w:val="00EC6636"/>
    <w:rsid w:val="00EC71B3"/>
    <w:rsid w:val="00EC7773"/>
    <w:rsid w:val="00EC7C66"/>
    <w:rsid w:val="00EC7DD7"/>
    <w:rsid w:val="00EC7E95"/>
    <w:rsid w:val="00ED0157"/>
    <w:rsid w:val="00ED18AD"/>
    <w:rsid w:val="00ED1A05"/>
    <w:rsid w:val="00ED3273"/>
    <w:rsid w:val="00ED3A6B"/>
    <w:rsid w:val="00ED5160"/>
    <w:rsid w:val="00ED5928"/>
    <w:rsid w:val="00EE174B"/>
    <w:rsid w:val="00EE1D10"/>
    <w:rsid w:val="00EE3350"/>
    <w:rsid w:val="00EE3A14"/>
    <w:rsid w:val="00EE59FD"/>
    <w:rsid w:val="00EE6FC3"/>
    <w:rsid w:val="00EF017B"/>
    <w:rsid w:val="00EF03CC"/>
    <w:rsid w:val="00EF1DFB"/>
    <w:rsid w:val="00EF2248"/>
    <w:rsid w:val="00EF4262"/>
    <w:rsid w:val="00EF4355"/>
    <w:rsid w:val="00EF461C"/>
    <w:rsid w:val="00EF55FA"/>
    <w:rsid w:val="00EF698F"/>
    <w:rsid w:val="00EF7BDF"/>
    <w:rsid w:val="00F01C93"/>
    <w:rsid w:val="00F034F0"/>
    <w:rsid w:val="00F0698A"/>
    <w:rsid w:val="00F0777A"/>
    <w:rsid w:val="00F07F29"/>
    <w:rsid w:val="00F11341"/>
    <w:rsid w:val="00F113E2"/>
    <w:rsid w:val="00F11688"/>
    <w:rsid w:val="00F12A83"/>
    <w:rsid w:val="00F13132"/>
    <w:rsid w:val="00F13A71"/>
    <w:rsid w:val="00F14E24"/>
    <w:rsid w:val="00F1504D"/>
    <w:rsid w:val="00F1557C"/>
    <w:rsid w:val="00F166BA"/>
    <w:rsid w:val="00F1725C"/>
    <w:rsid w:val="00F20225"/>
    <w:rsid w:val="00F20E3B"/>
    <w:rsid w:val="00F21290"/>
    <w:rsid w:val="00F216B6"/>
    <w:rsid w:val="00F2218D"/>
    <w:rsid w:val="00F23BC3"/>
    <w:rsid w:val="00F24792"/>
    <w:rsid w:val="00F249D4"/>
    <w:rsid w:val="00F276D0"/>
    <w:rsid w:val="00F27701"/>
    <w:rsid w:val="00F30E81"/>
    <w:rsid w:val="00F3523D"/>
    <w:rsid w:val="00F35CF5"/>
    <w:rsid w:val="00F36BB8"/>
    <w:rsid w:val="00F37E6E"/>
    <w:rsid w:val="00F42334"/>
    <w:rsid w:val="00F4316A"/>
    <w:rsid w:val="00F43E90"/>
    <w:rsid w:val="00F46C0D"/>
    <w:rsid w:val="00F50512"/>
    <w:rsid w:val="00F50FD2"/>
    <w:rsid w:val="00F51AA5"/>
    <w:rsid w:val="00F56BFA"/>
    <w:rsid w:val="00F57ED2"/>
    <w:rsid w:val="00F6460F"/>
    <w:rsid w:val="00F6570A"/>
    <w:rsid w:val="00F672DE"/>
    <w:rsid w:val="00F7156E"/>
    <w:rsid w:val="00F7206B"/>
    <w:rsid w:val="00F73A0C"/>
    <w:rsid w:val="00F73A6D"/>
    <w:rsid w:val="00F77ABC"/>
    <w:rsid w:val="00F77F37"/>
    <w:rsid w:val="00F800E9"/>
    <w:rsid w:val="00F801E5"/>
    <w:rsid w:val="00F81E28"/>
    <w:rsid w:val="00F83041"/>
    <w:rsid w:val="00F84151"/>
    <w:rsid w:val="00F84BC1"/>
    <w:rsid w:val="00F84E17"/>
    <w:rsid w:val="00F84EEE"/>
    <w:rsid w:val="00F85A27"/>
    <w:rsid w:val="00F85FCF"/>
    <w:rsid w:val="00F87B3D"/>
    <w:rsid w:val="00F87E9D"/>
    <w:rsid w:val="00F91263"/>
    <w:rsid w:val="00F91442"/>
    <w:rsid w:val="00FA0955"/>
    <w:rsid w:val="00FA17DB"/>
    <w:rsid w:val="00FA2B24"/>
    <w:rsid w:val="00FA2F65"/>
    <w:rsid w:val="00FA3EAD"/>
    <w:rsid w:val="00FA3F00"/>
    <w:rsid w:val="00FA4072"/>
    <w:rsid w:val="00FA65BB"/>
    <w:rsid w:val="00FA733E"/>
    <w:rsid w:val="00FB1922"/>
    <w:rsid w:val="00FB23FD"/>
    <w:rsid w:val="00FB3F02"/>
    <w:rsid w:val="00FB56A3"/>
    <w:rsid w:val="00FB5D1D"/>
    <w:rsid w:val="00FB6D3A"/>
    <w:rsid w:val="00FB6ECC"/>
    <w:rsid w:val="00FB7100"/>
    <w:rsid w:val="00FB72BC"/>
    <w:rsid w:val="00FC497E"/>
    <w:rsid w:val="00FC519D"/>
    <w:rsid w:val="00FC522A"/>
    <w:rsid w:val="00FC5878"/>
    <w:rsid w:val="00FC590F"/>
    <w:rsid w:val="00FC60FF"/>
    <w:rsid w:val="00FC682D"/>
    <w:rsid w:val="00FC6BCD"/>
    <w:rsid w:val="00FC7467"/>
    <w:rsid w:val="00FD1AA6"/>
    <w:rsid w:val="00FD2AC8"/>
    <w:rsid w:val="00FD3D3A"/>
    <w:rsid w:val="00FD5345"/>
    <w:rsid w:val="00FD6808"/>
    <w:rsid w:val="00FD71D5"/>
    <w:rsid w:val="00FD7670"/>
    <w:rsid w:val="00FE0469"/>
    <w:rsid w:val="00FE0EB1"/>
    <w:rsid w:val="00FE1D2D"/>
    <w:rsid w:val="00FE2AB2"/>
    <w:rsid w:val="00FE4957"/>
    <w:rsid w:val="00FE7885"/>
    <w:rsid w:val="00FE7F0E"/>
    <w:rsid w:val="00FF163A"/>
    <w:rsid w:val="00FF1934"/>
    <w:rsid w:val="00FF24A7"/>
    <w:rsid w:val="00FF2F4D"/>
    <w:rsid w:val="00FF6522"/>
    <w:rsid w:val="00FF66A1"/>
    <w:rsid w:val="00FF671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none [1305]" stroke="f">
      <v:fill color="none [1305]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  <w:style w:type="character" w:customStyle="1" w:styleId="markedcontent">
    <w:name w:val="markedcontent"/>
    <w:basedOn w:val="DefaultParagraphFont"/>
    <w:rsid w:val="0052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  <w:style w:type="character" w:customStyle="1" w:styleId="markedcontent">
    <w:name w:val="markedcontent"/>
    <w:basedOn w:val="DefaultParagraphFont"/>
    <w:rsid w:val="0052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2A2A2"/>
                                <w:left w:val="single" w:sz="6" w:space="26" w:color="A2A2A2"/>
                                <w:bottom w:val="single" w:sz="6" w:space="15" w:color="A2A2A2"/>
                                <w:right w:val="single" w:sz="6" w:space="26" w:color="A2A2A2"/>
                              </w:divBdr>
                              <w:divsChild>
                                <w:div w:id="57346579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25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hyperlink" Target="https://gabrovo-os.justice.bg/bg/3297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Новообразувани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901</c:v>
                </c:pt>
                <c:pt idx="1">
                  <c:v>908</c:v>
                </c:pt>
                <c:pt idx="2">
                  <c:v>919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 разглеждане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1046</c:v>
                </c:pt>
                <c:pt idx="1">
                  <c:v>1074</c:v>
                </c:pt>
                <c:pt idx="2">
                  <c:v>1070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0136832"/>
        <c:axId val="312217536"/>
        <c:axId val="0"/>
      </c:bar3DChart>
      <c:catAx>
        <c:axId val="310136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2217536"/>
        <c:crosses val="autoZero"/>
        <c:auto val="1"/>
        <c:lblAlgn val="ctr"/>
        <c:lblOffset val="100"/>
        <c:noMultiLvlLbl val="0"/>
      </c:catAx>
      <c:valAx>
        <c:axId val="312217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01368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Натовареност на РС - Трявна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6468247016040424"/>
          <c:y val="2.9955067398901646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19.13</c:v>
                </c:pt>
                <c:pt idx="1">
                  <c:v>16.46</c:v>
                </c:pt>
                <c:pt idx="2">
                  <c:v>17.79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38.25</c:v>
                </c:pt>
                <c:pt idx="1">
                  <c:v>16.46</c:v>
                </c:pt>
                <c:pt idx="2">
                  <c:v>20.329999999999998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735744"/>
        <c:axId val="309038464"/>
      </c:lineChart>
      <c:catAx>
        <c:axId val="152735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09038464"/>
        <c:crosses val="autoZero"/>
        <c:auto val="1"/>
        <c:lblAlgn val="ctr"/>
        <c:lblOffset val="100"/>
        <c:noMultiLvlLbl val="0"/>
      </c:catAx>
      <c:valAx>
        <c:axId val="309038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73574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880</c:v>
                </c:pt>
                <c:pt idx="1">
                  <c:v>923</c:v>
                </c:pt>
                <c:pt idx="2">
                  <c:v>929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Свършени в 3-мес. срок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698630136986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90473837720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90473837720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708</c:v>
                </c:pt>
                <c:pt idx="1">
                  <c:v>733</c:v>
                </c:pt>
                <c:pt idx="2">
                  <c:v>777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08994560"/>
        <c:axId val="312220416"/>
        <c:axId val="0"/>
      </c:bar3DChart>
      <c:catAx>
        <c:axId val="308994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12220416"/>
        <c:crosses val="autoZero"/>
        <c:auto val="1"/>
        <c:lblAlgn val="ctr"/>
        <c:lblOffset val="100"/>
        <c:noMultiLvlLbl val="0"/>
      </c:catAx>
      <c:valAx>
        <c:axId val="312220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8994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Габрово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3324</c:v>
                </c:pt>
                <c:pt idx="1">
                  <c:v>3198</c:v>
                </c:pt>
                <c:pt idx="2">
                  <c:v>3156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3771</c:v>
                </c:pt>
                <c:pt idx="1">
                  <c:v>3572</c:v>
                </c:pt>
                <c:pt idx="2">
                  <c:v>3586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3398</c:v>
                </c:pt>
                <c:pt idx="1">
                  <c:v>3146</c:v>
                </c:pt>
                <c:pt idx="2">
                  <c:v>3181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11499008"/>
        <c:axId val="312219264"/>
        <c:axId val="0"/>
      </c:bar3DChart>
      <c:catAx>
        <c:axId val="21149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12219264"/>
        <c:crosses val="autoZero"/>
        <c:auto val="1"/>
        <c:lblAlgn val="ctr"/>
        <c:lblOffset val="100"/>
        <c:noMultiLvlLbl val="0"/>
      </c:catAx>
      <c:valAx>
        <c:axId val="312219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499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Севлиево</a:t>
            </a:r>
          </a:p>
        </c:rich>
      </c:tx>
      <c:layout>
        <c:manualLayout>
          <c:xMode val="edge"/>
          <c:yMode val="edge"/>
          <c:x val="0.15985691664609991"/>
          <c:y val="3.363228699551569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2091</c:v>
                </c:pt>
                <c:pt idx="1">
                  <c:v>1841</c:v>
                </c:pt>
                <c:pt idx="2">
                  <c:v>1921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2275</c:v>
                </c:pt>
                <c:pt idx="1">
                  <c:v>2035</c:v>
                </c:pt>
                <c:pt idx="2">
                  <c:v>2143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2093</c:v>
                </c:pt>
                <c:pt idx="1">
                  <c:v>1813</c:v>
                </c:pt>
                <c:pt idx="2">
                  <c:v>1872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2698880"/>
        <c:axId val="193488000"/>
        <c:axId val="0"/>
      </c:bar3DChart>
      <c:catAx>
        <c:axId val="152698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488000"/>
        <c:crosses val="autoZero"/>
        <c:auto val="1"/>
        <c:lblAlgn val="ctr"/>
        <c:lblOffset val="100"/>
        <c:noMultiLvlLbl val="0"/>
      </c:catAx>
      <c:valAx>
        <c:axId val="193488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698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Дряново</a:t>
            </a:r>
          </a:p>
        </c:rich>
      </c:tx>
      <c:layout>
        <c:manualLayout>
          <c:xMode val="edge"/>
          <c:yMode val="edge"/>
          <c:x val="0.13486490915804139"/>
          <c:y val="2.535496957403651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660</c:v>
                </c:pt>
                <c:pt idx="1">
                  <c:v>618</c:v>
                </c:pt>
                <c:pt idx="2">
                  <c:v>642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735</c:v>
                </c:pt>
                <c:pt idx="1">
                  <c:v>661</c:v>
                </c:pt>
                <c:pt idx="2">
                  <c:v>717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693</c:v>
                </c:pt>
                <c:pt idx="1">
                  <c:v>586</c:v>
                </c:pt>
                <c:pt idx="2">
                  <c:v>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2701952"/>
        <c:axId val="193489728"/>
        <c:axId val="0"/>
      </c:bar3DChart>
      <c:catAx>
        <c:axId val="152701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489728"/>
        <c:crosses val="autoZero"/>
        <c:auto val="1"/>
        <c:lblAlgn val="ctr"/>
        <c:lblOffset val="100"/>
        <c:noMultiLvlLbl val="0"/>
      </c:catAx>
      <c:valAx>
        <c:axId val="19348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70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Трявна</a:t>
            </a:r>
            <a:endParaRPr lang="en-US" sz="1200" b="1" i="1">
              <a:solidFill>
                <a:schemeClr val="accent6">
                  <a:lumMod val="50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413</c:v>
                </c:pt>
                <c:pt idx="1">
                  <c:v>375</c:v>
                </c:pt>
                <c:pt idx="2">
                  <c:v>389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459</c:v>
                </c:pt>
                <c:pt idx="1">
                  <c:v>395</c:v>
                </c:pt>
                <c:pt idx="2">
                  <c:v>427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439</c:v>
                </c:pt>
                <c:pt idx="1">
                  <c:v>356</c:v>
                </c:pt>
                <c:pt idx="2">
                  <c:v>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2737280"/>
        <c:axId val="193491456"/>
        <c:axId val="0"/>
      </c:bar3DChart>
      <c:catAx>
        <c:axId val="152737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491456"/>
        <c:crosses val="autoZero"/>
        <c:auto val="1"/>
        <c:lblAlgn val="ctr"/>
        <c:lblOffset val="100"/>
        <c:noMultiLvlLbl val="0"/>
      </c:catAx>
      <c:valAx>
        <c:axId val="193491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737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Натовареност на РС - Габрово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31.43</c:v>
                </c:pt>
                <c:pt idx="1">
                  <c:v>29.77</c:v>
                </c:pt>
                <c:pt idx="2">
                  <c:v>29.88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34.92</c:v>
                </c:pt>
                <c:pt idx="1">
                  <c:v>34.68</c:v>
                </c:pt>
                <c:pt idx="2">
                  <c:v>37.35</c:v>
                </c:pt>
              </c:numCache>
            </c:numRef>
          </c: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737792"/>
        <c:axId val="193493184"/>
      </c:lineChart>
      <c:catAx>
        <c:axId val="1527377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193493184"/>
        <c:crosses val="autoZero"/>
        <c:auto val="1"/>
        <c:lblAlgn val="ctr"/>
        <c:lblOffset val="100"/>
        <c:noMultiLvlLbl val="0"/>
      </c:catAx>
      <c:valAx>
        <c:axId val="193493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737792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Натовеност на РС - Севлиево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21017546417808886"/>
          <c:y val="3.8556871385293311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47.65</c:v>
                </c:pt>
                <c:pt idx="1">
                  <c:v>42.4</c:v>
                </c:pt>
                <c:pt idx="2">
                  <c:v>35.72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49.72</c:v>
                </c:pt>
                <c:pt idx="1">
                  <c:v>42.4</c:v>
                </c:pt>
                <c:pt idx="2">
                  <c:v>44.65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702464"/>
        <c:axId val="309035008"/>
      </c:lineChart>
      <c:catAx>
        <c:axId val="1527024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309035008"/>
        <c:crosses val="autoZero"/>
        <c:auto val="1"/>
        <c:lblAlgn val="ctr"/>
        <c:lblOffset val="100"/>
        <c:noMultiLvlLbl val="0"/>
      </c:catAx>
      <c:valAx>
        <c:axId val="309035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702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Натовареност на РС - Дряново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30.63</c:v>
                </c:pt>
                <c:pt idx="1">
                  <c:v>27.54</c:v>
                </c:pt>
                <c:pt idx="2">
                  <c:v>29.88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30.63</c:v>
                </c:pt>
                <c:pt idx="1">
                  <c:v>27.54</c:v>
                </c:pt>
                <c:pt idx="2">
                  <c:v>29.88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738816"/>
        <c:axId val="309036736"/>
      </c:lineChart>
      <c:catAx>
        <c:axId val="152738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09036736"/>
        <c:crosses val="autoZero"/>
        <c:auto val="1"/>
        <c:lblAlgn val="ctr"/>
        <c:lblOffset val="100"/>
        <c:noMultiLvlLbl val="0"/>
      </c:catAx>
      <c:valAx>
        <c:axId val="309036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73881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6ABA-B3F9-4126-BBDB-9B37E4D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 ОФИЦИАЛЬНОГО ПОСЕЩЕНИЯ В БОЛГАРИИ</vt:lpstr>
    </vt:vector>
  </TitlesOfParts>
  <Company>vks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ОФИЦИАЛЬНОГО ПОСЕЩЕНИЯ В БОЛГАРИИ</dc:title>
  <dc:creator>Roza Georgieva</dc:creator>
  <cp:lastModifiedBy>Tsoneva</cp:lastModifiedBy>
  <cp:revision>19</cp:revision>
  <cp:lastPrinted>2024-03-27T07:36:00Z</cp:lastPrinted>
  <dcterms:created xsi:type="dcterms:W3CDTF">2023-04-25T08:17:00Z</dcterms:created>
  <dcterms:modified xsi:type="dcterms:W3CDTF">2024-03-27T07:37:00Z</dcterms:modified>
</cp:coreProperties>
</file>